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53" w:rsidRDefault="009B2083" w:rsidP="00BC343F">
      <w:pPr>
        <w:spacing w:before="600" w:after="120" w:line="800" w:lineRule="exact"/>
        <w:jc w:val="center"/>
        <w:rPr>
          <w:rFonts w:ascii="標楷體" w:eastAsia="標楷體" w:hAnsi="標楷體"/>
          <w:b/>
          <w:bCs/>
          <w:sz w:val="52"/>
        </w:rPr>
      </w:pPr>
      <w:r>
        <w:rPr>
          <w:rFonts w:ascii="標楷體" w:eastAsia="標楷體" w:hAnsi="標楷體" w:hint="eastAsia"/>
          <w:b/>
          <w:bCs/>
          <w:sz w:val="52"/>
        </w:rPr>
        <w:t>10</w:t>
      </w:r>
      <w:r w:rsidR="00415BA8">
        <w:rPr>
          <w:rFonts w:ascii="標楷體" w:eastAsia="標楷體" w:hAnsi="標楷體" w:hint="eastAsia"/>
          <w:b/>
          <w:bCs/>
          <w:sz w:val="52"/>
        </w:rPr>
        <w:t>5</w:t>
      </w:r>
      <w:r w:rsidR="00BC343F">
        <w:rPr>
          <w:rFonts w:ascii="標楷體" w:eastAsia="標楷體" w:hAnsi="標楷體" w:hint="eastAsia"/>
          <w:b/>
          <w:bCs/>
          <w:sz w:val="52"/>
        </w:rPr>
        <w:t>年</w:t>
      </w:r>
      <w:r w:rsidR="00415BA8">
        <w:rPr>
          <w:rFonts w:ascii="標楷體" w:eastAsia="標楷體" w:hAnsi="標楷體" w:hint="eastAsia"/>
          <w:b/>
          <w:bCs/>
          <w:sz w:val="52"/>
        </w:rPr>
        <w:t>1-</w:t>
      </w:r>
      <w:r w:rsidR="00A2710E">
        <w:rPr>
          <w:rFonts w:ascii="標楷體" w:eastAsia="標楷體" w:hAnsi="標楷體" w:hint="eastAsia"/>
          <w:b/>
          <w:bCs/>
          <w:sz w:val="52"/>
        </w:rPr>
        <w:t>6</w:t>
      </w:r>
      <w:r w:rsidR="00415BA8">
        <w:rPr>
          <w:rFonts w:ascii="標楷體" w:eastAsia="標楷體" w:hAnsi="標楷體" w:hint="eastAsia"/>
          <w:b/>
          <w:bCs/>
          <w:sz w:val="52"/>
        </w:rPr>
        <w:t>月</w:t>
      </w:r>
      <w:r w:rsidR="00BC343F">
        <w:rPr>
          <w:rFonts w:ascii="標楷體" w:eastAsia="標楷體" w:hAnsi="標楷體" w:hint="eastAsia"/>
          <w:b/>
          <w:bCs/>
          <w:sz w:val="52"/>
        </w:rPr>
        <w:t>重要交通統計指標</w:t>
      </w:r>
    </w:p>
    <w:p w:rsidR="007A5753" w:rsidRDefault="007A5753" w:rsidP="007A5753">
      <w:pPr>
        <w:ind w:leftChars="-675" w:left="-720" w:rightChars="-661" w:right="-1586" w:hangingChars="450" w:hanging="900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0181AC" wp14:editId="05D88FE9">
                <wp:simplePos x="0" y="0"/>
                <wp:positionH relativeFrom="page">
                  <wp:align>center</wp:align>
                </wp:positionH>
                <wp:positionV relativeFrom="paragraph">
                  <wp:posOffset>63500</wp:posOffset>
                </wp:positionV>
                <wp:extent cx="5533390" cy="7067550"/>
                <wp:effectExtent l="19050" t="19050" r="10160" b="190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3390" cy="70675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1FFFF"/>
                            </a:gs>
                            <a:gs pos="50000">
                              <a:srgbClr val="F1FFFF">
                                <a:gamma/>
                                <a:tint val="54118"/>
                                <a:invGamma/>
                              </a:srgbClr>
                            </a:gs>
                            <a:gs pos="100000">
                              <a:srgbClr val="F1FFFF"/>
                            </a:gs>
                          </a:gsLst>
                          <a:lin ang="2700000" scaled="1"/>
                        </a:gradFill>
                        <a:ln w="38100" cmpd="dbl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753" w:rsidRDefault="007A5753" w:rsidP="007A575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0"/>
                              </w:rPr>
                              <w:t>摘要分析</w:t>
                            </w:r>
                          </w:p>
                          <w:p w:rsidR="00CC0CD8" w:rsidRPr="00312C5C" w:rsidRDefault="00CC0CD8" w:rsidP="00B21072">
                            <w:pPr>
                              <w:spacing w:beforeLines="150" w:before="540" w:line="360" w:lineRule="exact"/>
                              <w:rPr>
                                <w:rFonts w:ascii="標楷體" w:eastAsia="標楷體" w:hAnsi="標楷體"/>
                                <w:b/>
                                <w:bCs/>
                                <w:sz w:val="32"/>
                              </w:rPr>
                            </w:pPr>
                            <w:r w:rsidRPr="00986A8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</w:rPr>
                              <w:t>◎</w:t>
                            </w:r>
                            <w:r w:rsidR="0065789C" w:rsidRPr="0065789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</w:rPr>
                              <w:t>交通各業指標概況</w:t>
                            </w:r>
                          </w:p>
                          <w:p w:rsidR="007A5753" w:rsidRPr="008972BA" w:rsidRDefault="007A5753" w:rsidP="0084117F">
                            <w:pPr>
                              <w:pStyle w:val="11"/>
                              <w:rPr>
                                <w:rFonts w:ascii="標楷體" w:hAnsi="標楷體"/>
                                <w:bCs/>
                                <w:szCs w:val="32"/>
                              </w:rPr>
                            </w:pPr>
                            <w:r w:rsidRPr="001273AF">
                              <w:rPr>
                                <w:rFonts w:ascii="標楷體" w:hAnsi="標楷體" w:hint="eastAsia"/>
                                <w:bCs/>
                                <w:noProof w:val="0"/>
                                <w:color w:val="000000"/>
                                <w:szCs w:val="32"/>
                              </w:rPr>
                              <w:t>一、</w:t>
                            </w:r>
                            <w:r w:rsidR="00D1001D" w:rsidRPr="00D1001D">
                              <w:rPr>
                                <w:rFonts w:hint="eastAsia"/>
                              </w:rPr>
                              <w:t>高鐵客座利用率連</w:t>
                            </w:r>
                            <w:r w:rsidR="00D1001D" w:rsidRPr="00D1001D">
                              <w:rPr>
                                <w:rFonts w:hint="eastAsia"/>
                              </w:rPr>
                              <w:t>7</w:t>
                            </w:r>
                            <w:r w:rsidR="00D1001D" w:rsidRPr="00D1001D">
                              <w:rPr>
                                <w:rFonts w:hint="eastAsia"/>
                              </w:rPr>
                              <w:t>個月逾</w:t>
                            </w:r>
                            <w:r w:rsidR="00D1001D" w:rsidRPr="00D1001D">
                              <w:rPr>
                                <w:rFonts w:hint="eastAsia"/>
                              </w:rPr>
                              <w:t>6</w:t>
                            </w:r>
                            <w:r w:rsidR="00D1001D" w:rsidRPr="00D1001D">
                              <w:rPr>
                                <w:rFonts w:hint="eastAsia"/>
                              </w:rPr>
                              <w:t>成</w:t>
                            </w:r>
                          </w:p>
                          <w:p w:rsidR="00720333" w:rsidRDefault="007A5753" w:rsidP="0084117F">
                            <w:pPr>
                              <w:pStyle w:val="11"/>
                              <w:rPr>
                                <w:rFonts w:ascii="標楷體" w:hAnsi="標楷體"/>
                                <w:bCs/>
                                <w:noProof w:val="0"/>
                                <w:szCs w:val="24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bCs/>
                                <w:noProof w:val="0"/>
                                <w:szCs w:val="24"/>
                              </w:rPr>
                              <w:t>二</w:t>
                            </w:r>
                            <w:r w:rsidRPr="0067771E">
                              <w:rPr>
                                <w:rFonts w:ascii="標楷體" w:hAnsi="標楷體" w:hint="eastAsia"/>
                                <w:bCs/>
                                <w:noProof w:val="0"/>
                                <w:szCs w:val="24"/>
                              </w:rPr>
                              <w:t>、</w:t>
                            </w:r>
                            <w:r w:rsidR="00D1001D" w:rsidRPr="00D1001D">
                              <w:rPr>
                                <w:rFonts w:hint="eastAsia"/>
                              </w:rPr>
                              <w:t>國道高速公路每日通行車輛數續增</w:t>
                            </w:r>
                          </w:p>
                          <w:p w:rsidR="0076641A" w:rsidRPr="003D0178" w:rsidRDefault="007A5753" w:rsidP="0084117F">
                            <w:pPr>
                              <w:pStyle w:val="11"/>
                            </w:pPr>
                            <w:r w:rsidRPr="003D0178">
                              <w:rPr>
                                <w:rFonts w:hint="eastAsia"/>
                              </w:rPr>
                              <w:t>三、</w:t>
                            </w:r>
                            <w:r w:rsidR="00BE6F81" w:rsidRPr="00D1001D">
                              <w:rPr>
                                <w:rFonts w:hint="eastAsia"/>
                              </w:rPr>
                              <w:t>臺北港貨櫃裝卸量創新高，躍居北部貨櫃海運樞紐</w:t>
                            </w:r>
                          </w:p>
                          <w:p w:rsidR="0076641A" w:rsidRPr="003D0178" w:rsidRDefault="007A5753" w:rsidP="0084117F">
                            <w:pPr>
                              <w:pStyle w:val="11"/>
                            </w:pPr>
                            <w:r w:rsidRPr="003D0178">
                              <w:rPr>
                                <w:rFonts w:hint="eastAsia"/>
                              </w:rPr>
                              <w:t>四、</w:t>
                            </w:r>
                            <w:r w:rsidR="00BE6F81" w:rsidRPr="00A416CC">
                              <w:rPr>
                                <w:rFonts w:hint="eastAsia"/>
                              </w:rPr>
                              <w:t>自由貿易港區貿易量、值續增，締造新高紀錄</w:t>
                            </w:r>
                          </w:p>
                          <w:p w:rsidR="007A5753" w:rsidRPr="003D0178" w:rsidRDefault="007A5753" w:rsidP="0084117F">
                            <w:pPr>
                              <w:pStyle w:val="11"/>
                            </w:pPr>
                            <w:r w:rsidRPr="003D0178">
                              <w:rPr>
                                <w:rFonts w:hint="eastAsia"/>
                              </w:rPr>
                              <w:t>五、</w:t>
                            </w:r>
                            <w:r w:rsidR="00D1001D" w:rsidRPr="00D1001D">
                              <w:rPr>
                                <w:rFonts w:hint="eastAsia"/>
                              </w:rPr>
                              <w:t>桃園機場進出旅客續攀升，南韓航線載客數增逾三成</w:t>
                            </w:r>
                          </w:p>
                          <w:p w:rsidR="00EC3F1C" w:rsidRDefault="007A5753" w:rsidP="0084117F">
                            <w:pPr>
                              <w:pStyle w:val="11"/>
                            </w:pPr>
                            <w:r w:rsidRPr="003D0178">
                              <w:rPr>
                                <w:rFonts w:hint="eastAsia"/>
                              </w:rPr>
                              <w:t>六、</w:t>
                            </w:r>
                            <w:r w:rsidR="00D1001D" w:rsidRPr="00D1001D">
                              <w:rPr>
                                <w:rFonts w:hint="eastAsia"/>
                              </w:rPr>
                              <w:t>東南亞來臺旅客人數成長快速</w:t>
                            </w:r>
                          </w:p>
                          <w:p w:rsidR="00727C52" w:rsidRPr="00727C52" w:rsidRDefault="00727C52" w:rsidP="0084117F">
                            <w:pPr>
                              <w:pStyle w:val="11"/>
                            </w:pPr>
                            <w:r>
                              <w:rPr>
                                <w:rFonts w:hint="eastAsia"/>
                              </w:rPr>
                              <w:t>七、</w:t>
                            </w:r>
                            <w:r w:rsidR="00D1001D" w:rsidRPr="00D1001D">
                              <w:rPr>
                                <w:rFonts w:hint="eastAsia"/>
                              </w:rPr>
                              <w:t>上半年均溫略高於氣候平均值，惟極端氣溫十分明顯</w:t>
                            </w:r>
                          </w:p>
                          <w:p w:rsidR="00E46A47" w:rsidRDefault="00E46A47" w:rsidP="00E46A47">
                            <w:pPr>
                              <w:pStyle w:val="ae"/>
                              <w:wordWrap/>
                              <w:spacing w:before="360" w:line="400" w:lineRule="exact"/>
                              <w:ind w:left="0" w:firstLine="0"/>
                              <w:rPr>
                                <w:rFonts w:ascii="標楷體" w:hAnsi="標楷體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E46A47" w:rsidRPr="00BF31FC" w:rsidRDefault="00E46A47" w:rsidP="00E46A47">
                            <w:pPr>
                              <w:pStyle w:val="ae"/>
                              <w:wordWrap/>
                              <w:spacing w:before="360" w:line="400" w:lineRule="exact"/>
                              <w:ind w:left="0" w:firstLine="0"/>
                              <w:rPr>
                                <w:rFonts w:ascii="標楷體" w:hAnsi="標楷體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F31FC">
                              <w:rPr>
                                <w:rFonts w:ascii="標楷體" w:hAnsi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發布日期：10</w:t>
                            </w:r>
                            <w:r>
                              <w:rPr>
                                <w:rFonts w:ascii="標楷體" w:hAnsi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5</w:t>
                            </w:r>
                            <w:r w:rsidRPr="00BF31FC">
                              <w:rPr>
                                <w:rFonts w:ascii="標楷體" w:hAnsi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標楷體" w:hAnsi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8</w:t>
                            </w:r>
                            <w:r w:rsidRPr="00BF31FC">
                              <w:rPr>
                                <w:rFonts w:ascii="標楷體" w:hAnsi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月</w:t>
                            </w:r>
                            <w:r w:rsidR="000D7A5A">
                              <w:rPr>
                                <w:rFonts w:ascii="標楷體" w:hAnsi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 w:rsidRPr="00BF31FC">
                              <w:rPr>
                                <w:rFonts w:ascii="標楷體" w:hAnsi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日  發布</w:t>
                            </w:r>
                            <w:bookmarkStart w:id="0" w:name="_GoBack"/>
                            <w:bookmarkEnd w:id="0"/>
                            <w:r w:rsidRPr="00BF31FC">
                              <w:rPr>
                                <w:rFonts w:ascii="標楷體" w:hAnsi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單位：交通部統計處</w:t>
                            </w:r>
                          </w:p>
                          <w:p w:rsidR="00E46A47" w:rsidRPr="00BF31FC" w:rsidRDefault="00E46A47" w:rsidP="00E46A47">
                            <w:pPr>
                              <w:spacing w:beforeLines="100" w:before="360" w:line="600" w:lineRule="exact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F31F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聯絡人</w:t>
                            </w:r>
                            <w:r w:rsidRPr="00BF31F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劉美齡科長</w:t>
                            </w:r>
                            <w:r w:rsidRPr="00BF31F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           聯絡電話：(02) 2349-272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E46A47" w:rsidRPr="00D64F2C" w:rsidRDefault="00E46A47" w:rsidP="00E46A47">
                            <w:pPr>
                              <w:spacing w:beforeLines="150" w:before="540" w:line="560" w:lineRule="atLeast"/>
                              <w:rPr>
                                <w:sz w:val="34"/>
                              </w:rPr>
                            </w:pPr>
                          </w:p>
                          <w:p w:rsidR="007A5753" w:rsidRPr="00E46A47" w:rsidRDefault="007A5753" w:rsidP="007A5753">
                            <w:pPr>
                              <w:jc w:val="both"/>
                              <w:rPr>
                                <w:sz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0;margin-top:5pt;width:435.7pt;height:556.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" fillcolor="#f1ffff" strokecolor="#9cf" strokeweight="3pt">
                <v:fill color2="#f7ffff" angle="45" focus="50%" type="gradient"/>
                <v:stroke linestyle="thinThin"/>
                <v:textbox>
                  <w:txbxContent>
                    <w:p w:rsidR="007A5753" w:rsidRDefault="007A5753" w:rsidP="007A5753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40"/>
                        </w:rPr>
                        <w:t>摘要分析</w:t>
                      </w:r>
                    </w:p>
                    <w:p w:rsidR="00CC0CD8" w:rsidRPr="00312C5C" w:rsidRDefault="00CC0CD8" w:rsidP="00B21072">
                      <w:pPr>
                        <w:spacing w:beforeLines="150" w:before="540" w:line="360" w:lineRule="exact"/>
                        <w:rPr>
                          <w:rFonts w:ascii="標楷體" w:eastAsia="標楷體" w:hAnsi="標楷體"/>
                          <w:b/>
                          <w:bCs/>
                          <w:sz w:val="32"/>
                        </w:rPr>
                      </w:pPr>
                      <w:r w:rsidRPr="00986A8C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</w:rPr>
                        <w:t>◎</w:t>
                      </w:r>
                      <w:r w:rsidR="0065789C" w:rsidRPr="0065789C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</w:rPr>
                        <w:t>交通各業指標概況</w:t>
                      </w:r>
                    </w:p>
                    <w:p w:rsidR="007A5753" w:rsidRPr="008972BA" w:rsidRDefault="007A5753" w:rsidP="0084117F">
                      <w:pPr>
                        <w:pStyle w:val="11"/>
                        <w:rPr>
                          <w:rFonts w:ascii="標楷體" w:hAnsi="標楷體"/>
                          <w:bCs/>
                          <w:szCs w:val="32"/>
                        </w:rPr>
                      </w:pPr>
                      <w:r w:rsidRPr="001273AF">
                        <w:rPr>
                          <w:rFonts w:ascii="標楷體" w:hAnsi="標楷體" w:hint="eastAsia"/>
                          <w:bCs/>
                          <w:noProof w:val="0"/>
                          <w:color w:val="000000"/>
                          <w:szCs w:val="32"/>
                        </w:rPr>
                        <w:t>一、</w:t>
                      </w:r>
                      <w:r w:rsidR="00D1001D" w:rsidRPr="00D1001D">
                        <w:rPr>
                          <w:rFonts w:hint="eastAsia"/>
                        </w:rPr>
                        <w:t>高鐵客座利用率連</w:t>
                      </w:r>
                      <w:r w:rsidR="00D1001D" w:rsidRPr="00D1001D">
                        <w:rPr>
                          <w:rFonts w:hint="eastAsia"/>
                        </w:rPr>
                        <w:t>7</w:t>
                      </w:r>
                      <w:r w:rsidR="00D1001D" w:rsidRPr="00D1001D">
                        <w:rPr>
                          <w:rFonts w:hint="eastAsia"/>
                        </w:rPr>
                        <w:t>個月逾</w:t>
                      </w:r>
                      <w:r w:rsidR="00D1001D" w:rsidRPr="00D1001D">
                        <w:rPr>
                          <w:rFonts w:hint="eastAsia"/>
                        </w:rPr>
                        <w:t>6</w:t>
                      </w:r>
                      <w:r w:rsidR="00D1001D" w:rsidRPr="00D1001D">
                        <w:rPr>
                          <w:rFonts w:hint="eastAsia"/>
                        </w:rPr>
                        <w:t>成</w:t>
                      </w:r>
                    </w:p>
                    <w:p w:rsidR="00720333" w:rsidRDefault="007A5753" w:rsidP="0084117F">
                      <w:pPr>
                        <w:pStyle w:val="11"/>
                        <w:rPr>
                          <w:rFonts w:ascii="標楷體" w:hAnsi="標楷體"/>
                          <w:bCs/>
                          <w:noProof w:val="0"/>
                          <w:szCs w:val="24"/>
                        </w:rPr>
                      </w:pPr>
                      <w:r>
                        <w:rPr>
                          <w:rFonts w:ascii="標楷體" w:hAnsi="標楷體" w:hint="eastAsia"/>
                          <w:bCs/>
                          <w:noProof w:val="0"/>
                          <w:szCs w:val="24"/>
                        </w:rPr>
                        <w:t>二</w:t>
                      </w:r>
                      <w:r w:rsidRPr="0067771E">
                        <w:rPr>
                          <w:rFonts w:ascii="標楷體" w:hAnsi="標楷體" w:hint="eastAsia"/>
                          <w:bCs/>
                          <w:noProof w:val="0"/>
                          <w:szCs w:val="24"/>
                        </w:rPr>
                        <w:t>、</w:t>
                      </w:r>
                      <w:r w:rsidR="00D1001D" w:rsidRPr="00D1001D">
                        <w:rPr>
                          <w:rFonts w:hint="eastAsia"/>
                        </w:rPr>
                        <w:t>國道高速公路每日通行車輛數續增</w:t>
                      </w:r>
                    </w:p>
                    <w:p w:rsidR="0076641A" w:rsidRPr="003D0178" w:rsidRDefault="007A5753" w:rsidP="0084117F">
                      <w:pPr>
                        <w:pStyle w:val="11"/>
                      </w:pPr>
                      <w:r w:rsidRPr="003D0178">
                        <w:rPr>
                          <w:rFonts w:hint="eastAsia"/>
                        </w:rPr>
                        <w:t>三、</w:t>
                      </w:r>
                      <w:r w:rsidR="00BE6F81" w:rsidRPr="00D1001D">
                        <w:rPr>
                          <w:rFonts w:hint="eastAsia"/>
                        </w:rPr>
                        <w:t>臺北港貨櫃裝卸量創新高，躍居北部貨櫃海運樞紐</w:t>
                      </w:r>
                    </w:p>
                    <w:p w:rsidR="0076641A" w:rsidRPr="003D0178" w:rsidRDefault="007A5753" w:rsidP="0084117F">
                      <w:pPr>
                        <w:pStyle w:val="11"/>
                      </w:pPr>
                      <w:r w:rsidRPr="003D0178">
                        <w:rPr>
                          <w:rFonts w:hint="eastAsia"/>
                        </w:rPr>
                        <w:t>四、</w:t>
                      </w:r>
                      <w:r w:rsidR="00BE6F81" w:rsidRPr="00A416CC">
                        <w:rPr>
                          <w:rFonts w:hint="eastAsia"/>
                        </w:rPr>
                        <w:t>自由貿易港區貿易量、值續增，締造新高紀錄</w:t>
                      </w:r>
                    </w:p>
                    <w:p w:rsidR="007A5753" w:rsidRPr="003D0178" w:rsidRDefault="007A5753" w:rsidP="0084117F">
                      <w:pPr>
                        <w:pStyle w:val="11"/>
                      </w:pPr>
                      <w:r w:rsidRPr="003D0178">
                        <w:rPr>
                          <w:rFonts w:hint="eastAsia"/>
                        </w:rPr>
                        <w:t>五、</w:t>
                      </w:r>
                      <w:r w:rsidR="00D1001D" w:rsidRPr="00D1001D">
                        <w:rPr>
                          <w:rFonts w:hint="eastAsia"/>
                        </w:rPr>
                        <w:t>桃園機場進出旅客續攀升，南韓航線載客數增逾三成</w:t>
                      </w:r>
                    </w:p>
                    <w:p w:rsidR="00EC3F1C" w:rsidRDefault="007A5753" w:rsidP="0084117F">
                      <w:pPr>
                        <w:pStyle w:val="11"/>
                      </w:pPr>
                      <w:r w:rsidRPr="003D0178">
                        <w:rPr>
                          <w:rFonts w:hint="eastAsia"/>
                        </w:rPr>
                        <w:t>六、</w:t>
                      </w:r>
                      <w:r w:rsidR="00D1001D" w:rsidRPr="00D1001D">
                        <w:rPr>
                          <w:rFonts w:hint="eastAsia"/>
                        </w:rPr>
                        <w:t>東南亞來臺旅客人數成長快速</w:t>
                      </w:r>
                    </w:p>
                    <w:p w:rsidR="00727C52" w:rsidRPr="00727C52" w:rsidRDefault="00727C52" w:rsidP="0084117F">
                      <w:pPr>
                        <w:pStyle w:val="11"/>
                      </w:pPr>
                      <w:r>
                        <w:rPr>
                          <w:rFonts w:hint="eastAsia"/>
                        </w:rPr>
                        <w:t>七、</w:t>
                      </w:r>
                      <w:r w:rsidR="00D1001D" w:rsidRPr="00D1001D">
                        <w:rPr>
                          <w:rFonts w:hint="eastAsia"/>
                        </w:rPr>
                        <w:t>上半年均溫略高於氣候平均值，惟極端氣溫十分明顯</w:t>
                      </w:r>
                    </w:p>
                    <w:p w:rsidR="00E46A47" w:rsidRDefault="00E46A47" w:rsidP="00E46A47">
                      <w:pPr>
                        <w:pStyle w:val="ae"/>
                        <w:wordWrap/>
                        <w:spacing w:before="360" w:line="400" w:lineRule="exact"/>
                        <w:ind w:left="0" w:firstLine="0"/>
                        <w:rPr>
                          <w:rFonts w:ascii="標楷體" w:hAnsi="標楷體"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E46A47" w:rsidRPr="00BF31FC" w:rsidRDefault="00E46A47" w:rsidP="00E46A47">
                      <w:pPr>
                        <w:pStyle w:val="ae"/>
                        <w:wordWrap/>
                        <w:spacing w:before="360" w:line="400" w:lineRule="exact"/>
                        <w:ind w:left="0" w:firstLine="0"/>
                        <w:rPr>
                          <w:rFonts w:ascii="標楷體" w:hAnsi="標楷體"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BF31FC">
                        <w:rPr>
                          <w:rFonts w:ascii="標楷體" w:hAnsi="標楷體" w:hint="eastAsia"/>
                          <w:bCs/>
                          <w:color w:val="000000"/>
                          <w:sz w:val="28"/>
                          <w:szCs w:val="28"/>
                        </w:rPr>
                        <w:t>發布日期：10</w:t>
                      </w:r>
                      <w:r>
                        <w:rPr>
                          <w:rFonts w:ascii="標楷體" w:hAnsi="標楷體" w:hint="eastAsia"/>
                          <w:bCs/>
                          <w:color w:val="000000"/>
                          <w:sz w:val="28"/>
                          <w:szCs w:val="28"/>
                        </w:rPr>
                        <w:t>5</w:t>
                      </w:r>
                      <w:r w:rsidRPr="00BF31FC">
                        <w:rPr>
                          <w:rFonts w:ascii="標楷體" w:hAnsi="標楷體" w:hint="eastAsia"/>
                          <w:bCs/>
                          <w:color w:val="000000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ascii="標楷體" w:hAnsi="標楷體" w:hint="eastAsia"/>
                          <w:bCs/>
                          <w:color w:val="000000"/>
                          <w:sz w:val="28"/>
                          <w:szCs w:val="28"/>
                        </w:rPr>
                        <w:t>8</w:t>
                      </w:r>
                      <w:r w:rsidRPr="00BF31FC">
                        <w:rPr>
                          <w:rFonts w:ascii="標楷體" w:hAnsi="標楷體" w:hint="eastAsia"/>
                          <w:bCs/>
                          <w:color w:val="000000"/>
                          <w:sz w:val="28"/>
                          <w:szCs w:val="28"/>
                        </w:rPr>
                        <w:t>月</w:t>
                      </w:r>
                      <w:r w:rsidR="000D7A5A">
                        <w:rPr>
                          <w:rFonts w:ascii="標楷體" w:hAnsi="標楷體" w:hint="eastAsia"/>
                          <w:bCs/>
                          <w:color w:val="000000"/>
                          <w:sz w:val="28"/>
                          <w:szCs w:val="28"/>
                        </w:rPr>
                        <w:t>3</w:t>
                      </w:r>
                      <w:r w:rsidRPr="00BF31FC">
                        <w:rPr>
                          <w:rFonts w:ascii="標楷體" w:hAnsi="標楷體" w:hint="eastAsia"/>
                          <w:bCs/>
                          <w:color w:val="000000"/>
                          <w:sz w:val="28"/>
                          <w:szCs w:val="28"/>
                        </w:rPr>
                        <w:t>日  發布</w:t>
                      </w:r>
                      <w:bookmarkStart w:id="1" w:name="_GoBack"/>
                      <w:bookmarkEnd w:id="1"/>
                      <w:r w:rsidRPr="00BF31FC">
                        <w:rPr>
                          <w:rFonts w:ascii="標楷體" w:hAnsi="標楷體" w:hint="eastAsia"/>
                          <w:bCs/>
                          <w:color w:val="000000"/>
                          <w:sz w:val="28"/>
                          <w:szCs w:val="28"/>
                        </w:rPr>
                        <w:t>單位：交通部統計處</w:t>
                      </w:r>
                    </w:p>
                    <w:p w:rsidR="00E46A47" w:rsidRPr="00BF31FC" w:rsidRDefault="00E46A47" w:rsidP="00E46A47">
                      <w:pPr>
                        <w:spacing w:beforeLines="100" w:before="360" w:line="600" w:lineRule="exact"/>
                        <w:rPr>
                          <w:rFonts w:ascii="標楷體" w:eastAsia="標楷體" w:hAnsi="標楷體"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BF31FC">
                        <w:rPr>
                          <w:rFonts w:ascii="標楷體" w:eastAsia="標楷體" w:hAnsi="標楷體" w:hint="eastAsia"/>
                          <w:sz w:val="28"/>
                        </w:rPr>
                        <w:t>聯絡人</w:t>
                      </w:r>
                      <w:r w:rsidRPr="00BF31FC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8"/>
                          <w:szCs w:val="28"/>
                        </w:rPr>
                        <w:t>劉美齡科長</w:t>
                      </w:r>
                      <w:r w:rsidRPr="00BF31FC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8"/>
                          <w:szCs w:val="28"/>
                        </w:rPr>
                        <w:t xml:space="preserve">             聯絡電話：(02) 2349-272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8"/>
                          <w:szCs w:val="28"/>
                        </w:rPr>
                        <w:t>0</w:t>
                      </w:r>
                    </w:p>
                    <w:p w:rsidR="00E46A47" w:rsidRPr="00D64F2C" w:rsidRDefault="00E46A47" w:rsidP="00E46A47">
                      <w:pPr>
                        <w:spacing w:beforeLines="150" w:before="540" w:line="560" w:lineRule="atLeast"/>
                        <w:rPr>
                          <w:sz w:val="34"/>
                        </w:rPr>
                      </w:pPr>
                    </w:p>
                    <w:p w:rsidR="007A5753" w:rsidRPr="00E46A47" w:rsidRDefault="007A5753" w:rsidP="007A5753">
                      <w:pPr>
                        <w:jc w:val="both"/>
                        <w:rPr>
                          <w:sz w:val="3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A5753" w:rsidRDefault="007A5753" w:rsidP="007A5753">
      <w:pPr>
        <w:jc w:val="center"/>
        <w:rPr>
          <w:rFonts w:ascii="標楷體" w:eastAsia="標楷體" w:hAnsi="標楷體"/>
          <w:sz w:val="36"/>
        </w:rPr>
      </w:pPr>
    </w:p>
    <w:p w:rsidR="007A5753" w:rsidRDefault="007A5753" w:rsidP="007A5753">
      <w:pPr>
        <w:jc w:val="center"/>
        <w:rPr>
          <w:rFonts w:ascii="標楷體" w:eastAsia="標楷體" w:hAnsi="標楷體"/>
          <w:sz w:val="36"/>
        </w:rPr>
      </w:pPr>
    </w:p>
    <w:p w:rsidR="007A5753" w:rsidRDefault="007A5753" w:rsidP="007A5753">
      <w:pPr>
        <w:spacing w:line="500" w:lineRule="exact"/>
        <w:jc w:val="center"/>
        <w:rPr>
          <w:rFonts w:ascii="標楷體" w:eastAsia="標楷體" w:hAnsi="標楷體"/>
          <w:sz w:val="28"/>
        </w:rPr>
      </w:pPr>
    </w:p>
    <w:p w:rsidR="007A5753" w:rsidRDefault="007A5753" w:rsidP="007A5753">
      <w:pPr>
        <w:spacing w:line="500" w:lineRule="exact"/>
        <w:jc w:val="center"/>
        <w:rPr>
          <w:rFonts w:ascii="標楷體" w:eastAsia="標楷體" w:hAnsi="標楷體"/>
          <w:sz w:val="32"/>
        </w:rPr>
      </w:pPr>
    </w:p>
    <w:p w:rsidR="007A5753" w:rsidRDefault="007A5753" w:rsidP="007A5753">
      <w:pPr>
        <w:spacing w:line="500" w:lineRule="exact"/>
      </w:pPr>
    </w:p>
    <w:p w:rsidR="007A5753" w:rsidRDefault="007A5753" w:rsidP="007A5753">
      <w:pPr>
        <w:spacing w:line="500" w:lineRule="exact"/>
        <w:jc w:val="center"/>
        <w:rPr>
          <w:rFonts w:ascii="標楷體" w:eastAsia="標楷體" w:hAnsi="標楷體"/>
          <w:sz w:val="32"/>
        </w:rPr>
      </w:pPr>
    </w:p>
    <w:p w:rsidR="007A5753" w:rsidRDefault="007A5753" w:rsidP="007A5753">
      <w:pPr>
        <w:spacing w:line="500" w:lineRule="exact"/>
        <w:jc w:val="center"/>
        <w:rPr>
          <w:rFonts w:ascii="標楷體" w:eastAsia="標楷體" w:hAnsi="標楷體"/>
          <w:sz w:val="32"/>
        </w:rPr>
      </w:pPr>
    </w:p>
    <w:p w:rsidR="007A5753" w:rsidRDefault="007A5753" w:rsidP="007A5753">
      <w:pPr>
        <w:spacing w:line="500" w:lineRule="exact"/>
        <w:jc w:val="center"/>
        <w:rPr>
          <w:rFonts w:ascii="標楷體" w:eastAsia="標楷體" w:hAnsi="標楷體"/>
          <w:sz w:val="32"/>
        </w:rPr>
      </w:pPr>
    </w:p>
    <w:p w:rsidR="007A5753" w:rsidRDefault="007A5753" w:rsidP="007A5753">
      <w:pPr>
        <w:spacing w:line="500" w:lineRule="exact"/>
        <w:jc w:val="center"/>
        <w:rPr>
          <w:rFonts w:ascii="標楷體" w:eastAsia="標楷體" w:hAnsi="標楷體"/>
          <w:sz w:val="32"/>
        </w:rPr>
      </w:pPr>
    </w:p>
    <w:p w:rsidR="007A5753" w:rsidRDefault="007A5753" w:rsidP="007A5753">
      <w:pPr>
        <w:spacing w:line="500" w:lineRule="exact"/>
        <w:jc w:val="center"/>
        <w:rPr>
          <w:rFonts w:ascii="標楷體" w:eastAsia="標楷體" w:hAnsi="標楷體"/>
          <w:sz w:val="32"/>
        </w:rPr>
      </w:pPr>
    </w:p>
    <w:p w:rsidR="007A5753" w:rsidRDefault="007A5753" w:rsidP="007A5753">
      <w:pPr>
        <w:spacing w:line="500" w:lineRule="exact"/>
        <w:jc w:val="center"/>
        <w:rPr>
          <w:rFonts w:ascii="標楷體" w:eastAsia="標楷體" w:hAnsi="標楷體"/>
          <w:sz w:val="32"/>
        </w:rPr>
      </w:pPr>
    </w:p>
    <w:p w:rsidR="007A5753" w:rsidRDefault="007A5753" w:rsidP="007A5753">
      <w:pPr>
        <w:spacing w:line="500" w:lineRule="exact"/>
        <w:jc w:val="center"/>
        <w:rPr>
          <w:rFonts w:ascii="標楷體" w:eastAsia="標楷體" w:hAnsi="標楷體"/>
          <w:sz w:val="32"/>
        </w:rPr>
      </w:pPr>
    </w:p>
    <w:p w:rsidR="007A5753" w:rsidRDefault="007A5753" w:rsidP="007A5753">
      <w:pPr>
        <w:spacing w:line="500" w:lineRule="exact"/>
        <w:jc w:val="center"/>
        <w:rPr>
          <w:rFonts w:ascii="標楷體" w:eastAsia="標楷體" w:hAnsi="標楷體"/>
          <w:sz w:val="32"/>
        </w:rPr>
      </w:pPr>
    </w:p>
    <w:p w:rsidR="007A5753" w:rsidRDefault="007A5753" w:rsidP="007A5753">
      <w:pPr>
        <w:spacing w:line="500" w:lineRule="exact"/>
        <w:jc w:val="center"/>
        <w:rPr>
          <w:rFonts w:ascii="標楷體" w:eastAsia="標楷體" w:hAnsi="標楷體"/>
          <w:sz w:val="32"/>
        </w:rPr>
      </w:pPr>
    </w:p>
    <w:p w:rsidR="007A5753" w:rsidRDefault="007A5753" w:rsidP="007A5753">
      <w:pPr>
        <w:spacing w:line="500" w:lineRule="exact"/>
        <w:jc w:val="center"/>
        <w:rPr>
          <w:rFonts w:ascii="標楷體" w:eastAsia="標楷體" w:hAnsi="標楷體"/>
          <w:sz w:val="32"/>
        </w:rPr>
      </w:pPr>
    </w:p>
    <w:p w:rsidR="007A5753" w:rsidRDefault="007A5753" w:rsidP="007A5753">
      <w:pPr>
        <w:spacing w:line="500" w:lineRule="exact"/>
        <w:jc w:val="center"/>
        <w:rPr>
          <w:rFonts w:ascii="標楷體" w:eastAsia="標楷體" w:hAnsi="標楷體"/>
          <w:sz w:val="32"/>
        </w:rPr>
      </w:pPr>
    </w:p>
    <w:p w:rsidR="007A5753" w:rsidRDefault="007A5753" w:rsidP="007A5753">
      <w:pPr>
        <w:spacing w:line="500" w:lineRule="exact"/>
        <w:jc w:val="center"/>
        <w:rPr>
          <w:rFonts w:ascii="標楷體" w:eastAsia="標楷體" w:hAnsi="標楷體"/>
          <w:sz w:val="32"/>
        </w:rPr>
      </w:pPr>
    </w:p>
    <w:p w:rsidR="007A5753" w:rsidRDefault="007A5753" w:rsidP="007A5753">
      <w:pPr>
        <w:spacing w:line="500" w:lineRule="exact"/>
        <w:jc w:val="center"/>
        <w:rPr>
          <w:rFonts w:ascii="標楷體" w:eastAsia="標楷體" w:hAnsi="標楷體"/>
          <w:sz w:val="32"/>
        </w:rPr>
      </w:pPr>
    </w:p>
    <w:p w:rsidR="007A5753" w:rsidRDefault="007A5753" w:rsidP="007A5753">
      <w:pPr>
        <w:spacing w:line="500" w:lineRule="exact"/>
        <w:jc w:val="center"/>
        <w:rPr>
          <w:rFonts w:ascii="標楷體" w:eastAsia="標楷體" w:hAnsi="標楷體"/>
          <w:sz w:val="32"/>
        </w:rPr>
      </w:pPr>
    </w:p>
    <w:p w:rsidR="007A5753" w:rsidRDefault="007A5753" w:rsidP="007A5753">
      <w:pPr>
        <w:pStyle w:val="a6"/>
        <w:tabs>
          <w:tab w:val="center" w:pos="1434"/>
          <w:tab w:val="left" w:pos="7648"/>
        </w:tabs>
        <w:snapToGrid w:val="0"/>
        <w:spacing w:afterLines="50" w:after="180" w:line="400" w:lineRule="exact"/>
        <w:jc w:val="both"/>
        <w:rPr>
          <w:snapToGrid w:val="0"/>
          <w:sz w:val="30"/>
          <w:lang w:bidi="hi-IN"/>
        </w:rPr>
        <w:sectPr w:rsidR="007A5753" w:rsidSect="0098636A">
          <w:footerReference w:type="even" r:id="rId8"/>
          <w:footerReference w:type="default" r:id="rId9"/>
          <w:pgSz w:w="11906" w:h="16838"/>
          <w:pgMar w:top="1259" w:right="1797" w:bottom="1418" w:left="1797" w:header="851" w:footer="1015" w:gutter="0"/>
          <w:pgNumType w:start="0"/>
          <w:cols w:space="425"/>
          <w:titlePg/>
          <w:docGrid w:type="lines" w:linePitch="360"/>
        </w:sectPr>
      </w:pPr>
    </w:p>
    <w:p w:rsidR="007A5753" w:rsidRPr="00B76379" w:rsidRDefault="00000102" w:rsidP="001806BC">
      <w:pPr>
        <w:widowControl/>
        <w:tabs>
          <w:tab w:val="left" w:pos="709"/>
        </w:tabs>
        <w:spacing w:line="400" w:lineRule="exact"/>
        <w:ind w:left="1063" w:rightChars="-59" w:right="-142" w:hangingChars="295" w:hanging="1063"/>
        <w:jc w:val="center"/>
        <w:outlineLvl w:val="0"/>
        <w:rPr>
          <w:rFonts w:ascii="標楷體" w:eastAsia="標楷體" w:hAnsi="標楷體"/>
          <w:b/>
          <w:bCs/>
          <w:sz w:val="36"/>
        </w:rPr>
      </w:pPr>
      <w:r w:rsidRPr="00B76379">
        <w:rPr>
          <w:rFonts w:ascii="標楷體" w:eastAsia="標楷體" w:hAnsi="標楷體" w:hint="eastAsia"/>
          <w:b/>
          <w:bCs/>
          <w:sz w:val="36"/>
        </w:rPr>
        <w:lastRenderedPageBreak/>
        <w:t>交通各業指標</w:t>
      </w:r>
      <w:r w:rsidR="009348DB">
        <w:rPr>
          <w:rFonts w:ascii="標楷體" w:eastAsia="標楷體" w:hAnsi="標楷體" w:hint="eastAsia"/>
          <w:b/>
          <w:bCs/>
          <w:sz w:val="36"/>
        </w:rPr>
        <w:t>概況</w:t>
      </w:r>
    </w:p>
    <w:p w:rsidR="009D6CC9" w:rsidRDefault="001B588B" w:rsidP="007A5753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ABE67C" wp14:editId="40B5E85B">
                <wp:simplePos x="0" y="0"/>
                <wp:positionH relativeFrom="column">
                  <wp:posOffset>-2540</wp:posOffset>
                </wp:positionH>
                <wp:positionV relativeFrom="paragraph">
                  <wp:posOffset>7908925</wp:posOffset>
                </wp:positionV>
                <wp:extent cx="5943600" cy="276225"/>
                <wp:effectExtent l="0" t="0" r="0" b="9525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6F1" w:rsidRDefault="009606F1" w:rsidP="009606F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說明：本表港埠係指國際商港(基隆港、高雄港、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中港、花蓮港、蘇澳港、安平港及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北港)。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8" o:spid="_x0000_s1027" type="#_x0000_t202" style="position:absolute;margin-left:-.2pt;margin-top:622.75pt;width:468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" filled="f" stroked="f">
                <v:textbox inset="0,0,0,0">
                  <w:txbxContent>
                    <w:p w:rsidR="009606F1" w:rsidRDefault="009606F1" w:rsidP="009606F1">
                      <w:pPr>
                        <w:rPr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說明：本表港埠係指國際商港(基隆港、高雄港、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臺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中港、花蓮港、蘇澳港、安平港及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臺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北港)。</w:t>
                      </w:r>
                    </w:p>
                  </w:txbxContent>
                </v:textbox>
              </v:shape>
            </w:pict>
          </mc:Fallback>
        </mc:AlternateContent>
      </w:r>
      <w:r w:rsidR="009348DB">
        <w:rPr>
          <w:noProof/>
        </w:rPr>
        <w:drawing>
          <wp:inline distT="0" distB="0" distL="0" distR="0" wp14:anchorId="558C2C31" wp14:editId="7F31424C">
            <wp:extent cx="5400040" cy="7811933"/>
            <wp:effectExtent l="0" t="0" r="0" b="0"/>
            <wp:docPr id="1332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6" name="圖片 1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C$2:$G$22"/>
                        </a:ext>
                      </a:extLst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11933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A66ED" w:rsidRDefault="00CA66ED">
      <w:pPr>
        <w:widowControl/>
      </w:pPr>
      <w:r>
        <w:br w:type="page"/>
      </w:r>
    </w:p>
    <w:p w:rsidR="00375EEB" w:rsidRPr="00B03AE0" w:rsidRDefault="0076641A" w:rsidP="00B03AE0">
      <w:pPr>
        <w:snapToGrid w:val="0"/>
        <w:spacing w:afterLines="50" w:after="180" w:line="400" w:lineRule="exact"/>
        <w:ind w:leftChars="-49" w:left="566" w:rightChars="-50" w:right="-120" w:hangingChars="192" w:hanging="684"/>
        <w:jc w:val="both"/>
        <w:rPr>
          <w:b/>
          <w:sz w:val="36"/>
          <w:szCs w:val="36"/>
        </w:rPr>
      </w:pPr>
      <w:r w:rsidRPr="00B03AE0">
        <w:rPr>
          <w:rFonts w:ascii="標楷體" w:eastAsia="標楷體" w:hAnsi="標楷體" w:hint="eastAsia"/>
          <w:b/>
          <w:bCs/>
          <w:spacing w:val="-2"/>
          <w:kern w:val="0"/>
          <w:sz w:val="36"/>
          <w:szCs w:val="36"/>
        </w:rPr>
        <w:lastRenderedPageBreak/>
        <w:t>一、</w:t>
      </w:r>
      <w:r w:rsidR="00E773A1" w:rsidRPr="00E773A1">
        <w:rPr>
          <w:rFonts w:ascii="標楷體" w:eastAsia="標楷體" w:hAnsi="標楷體" w:hint="eastAsia"/>
          <w:b/>
          <w:bCs/>
          <w:spacing w:val="-2"/>
          <w:kern w:val="0"/>
          <w:sz w:val="36"/>
          <w:szCs w:val="36"/>
        </w:rPr>
        <w:t>高鐵客座利用率連7個月逾</w:t>
      </w:r>
      <w:proofErr w:type="gramStart"/>
      <w:r w:rsidR="00E773A1" w:rsidRPr="00E773A1">
        <w:rPr>
          <w:rFonts w:ascii="標楷體" w:eastAsia="標楷體" w:hAnsi="標楷體" w:hint="eastAsia"/>
          <w:b/>
          <w:bCs/>
          <w:spacing w:val="-2"/>
          <w:kern w:val="0"/>
          <w:sz w:val="36"/>
          <w:szCs w:val="36"/>
        </w:rPr>
        <w:t>6成</w:t>
      </w:r>
      <w:proofErr w:type="gramEnd"/>
    </w:p>
    <w:p w:rsidR="00E773A1" w:rsidRDefault="00E773A1" w:rsidP="00E773A1">
      <w:pPr>
        <w:spacing w:beforeLines="20" w:before="72" w:afterLines="20" w:after="72" w:line="460" w:lineRule="exact"/>
        <w:ind w:leftChars="70" w:left="168" w:rightChars="84" w:right="202" w:firstLineChars="218" w:firstLine="698"/>
        <w:jc w:val="both"/>
        <w:rPr>
          <w:rFonts w:ascii="標楷體" w:eastAsia="標楷體" w:hAnsi="標楷體"/>
          <w:color w:val="0D0D0D" w:themeColor="text1" w:themeTint="F2"/>
          <w:sz w:val="32"/>
        </w:rPr>
      </w:pPr>
      <w:r w:rsidRPr="00FB5478">
        <w:rPr>
          <w:rFonts w:ascii="標楷體" w:eastAsia="標楷體" w:hAnsi="標楷體" w:hint="eastAsia"/>
          <w:color w:val="0D0D0D" w:themeColor="text1" w:themeTint="F2"/>
          <w:sz w:val="32"/>
        </w:rPr>
        <w:t>105年1-6月軌道及汽車運輸平均每日輸運628萬人次</w:t>
      </w:r>
      <w:r>
        <w:rPr>
          <w:rFonts w:ascii="標楷體" w:eastAsia="標楷體" w:hAnsi="標楷體" w:hint="eastAsia"/>
          <w:color w:val="0D0D0D" w:themeColor="text1" w:themeTint="F2"/>
          <w:sz w:val="32"/>
        </w:rPr>
        <w:t>(+</w:t>
      </w:r>
      <w:r w:rsidRPr="00FB5478">
        <w:rPr>
          <w:rFonts w:ascii="標楷體" w:eastAsia="標楷體" w:hAnsi="標楷體" w:hint="eastAsia"/>
          <w:color w:val="0D0D0D" w:themeColor="text1" w:themeTint="F2"/>
          <w:sz w:val="32"/>
        </w:rPr>
        <w:t>1.1%)，</w:t>
      </w:r>
      <w:r>
        <w:rPr>
          <w:rFonts w:ascii="標楷體" w:eastAsia="標楷體" w:hAnsi="標楷體" w:hint="eastAsia"/>
          <w:color w:val="0D0D0D" w:themeColor="text1" w:themeTint="F2"/>
          <w:sz w:val="32"/>
        </w:rPr>
        <w:t>為歷年同期新高</w:t>
      </w:r>
      <w:r w:rsidRPr="00FB5478">
        <w:rPr>
          <w:rFonts w:ascii="標楷體" w:eastAsia="標楷體" w:hAnsi="標楷體" w:hint="eastAsia"/>
          <w:color w:val="0D0D0D" w:themeColor="text1" w:themeTint="F2"/>
          <w:sz w:val="32"/>
        </w:rPr>
        <w:t>，</w:t>
      </w:r>
      <w:r>
        <w:rPr>
          <w:rFonts w:ascii="標楷體" w:eastAsia="標楷體" w:hAnsi="標楷體" w:hint="eastAsia"/>
          <w:color w:val="0D0D0D" w:themeColor="text1" w:themeTint="F2"/>
          <w:sz w:val="32"/>
        </w:rPr>
        <w:t>運量平穩成長</w:t>
      </w:r>
      <w:r w:rsidRPr="00FB5478">
        <w:rPr>
          <w:rFonts w:ascii="標楷體" w:eastAsia="標楷體" w:hAnsi="標楷體" w:hint="eastAsia"/>
          <w:color w:val="0D0D0D" w:themeColor="text1" w:themeTint="F2"/>
          <w:sz w:val="32"/>
        </w:rPr>
        <w:t>。</w:t>
      </w:r>
    </w:p>
    <w:p w:rsidR="00E773A1" w:rsidRPr="003B08E1" w:rsidRDefault="00E773A1" w:rsidP="00E773A1">
      <w:pPr>
        <w:spacing w:beforeLines="20" w:before="72" w:afterLines="20" w:after="72" w:line="460" w:lineRule="exact"/>
        <w:ind w:leftChars="70" w:left="168" w:rightChars="84" w:right="202" w:firstLineChars="218" w:firstLine="698"/>
        <w:jc w:val="both"/>
        <w:rPr>
          <w:rFonts w:ascii="標楷體" w:eastAsia="標楷體" w:hAnsi="標楷體"/>
          <w:color w:val="0D0D0D" w:themeColor="text1" w:themeTint="F2"/>
          <w:sz w:val="32"/>
        </w:rPr>
      </w:pPr>
      <w:r>
        <w:rPr>
          <w:rFonts w:ascii="標楷體" w:eastAsia="標楷體" w:hAnsi="標楷體" w:hint="eastAsia"/>
          <w:color w:val="0D0D0D" w:themeColor="text1" w:themeTint="F2"/>
          <w:sz w:val="32"/>
        </w:rPr>
        <w:t>在軌道運輸方面，105年1-6月平均每日載客296萬人次(+1.1%)</w:t>
      </w:r>
      <w:r w:rsidRPr="00323B27">
        <w:rPr>
          <w:rFonts w:ascii="標楷體" w:eastAsia="標楷體" w:hAnsi="標楷體" w:hint="eastAsia"/>
          <w:color w:val="0D0D0D" w:themeColor="text1" w:themeTint="F2"/>
          <w:sz w:val="32"/>
        </w:rPr>
        <w:t>，其中</w:t>
      </w:r>
      <w:r w:rsidRPr="00BF17F0">
        <w:rPr>
          <w:rFonts w:ascii="標楷體" w:eastAsia="標楷體" w:hAnsi="標楷體" w:hint="eastAsia"/>
          <w:color w:val="0D0D0D" w:themeColor="text1" w:themeTint="F2"/>
          <w:sz w:val="32"/>
        </w:rPr>
        <w:t>高鐵</w:t>
      </w:r>
      <w:r>
        <w:rPr>
          <w:rFonts w:ascii="標楷體" w:eastAsia="標楷體" w:hAnsi="標楷體" w:hint="eastAsia"/>
          <w:color w:val="0D0D0D" w:themeColor="text1" w:themeTint="F2"/>
          <w:sz w:val="32"/>
        </w:rPr>
        <w:t>受惠於</w:t>
      </w:r>
      <w:r w:rsidRPr="00BF17F0">
        <w:rPr>
          <w:rFonts w:ascii="標楷體" w:eastAsia="標楷體" w:hAnsi="標楷體" w:hint="eastAsia"/>
          <w:color w:val="0D0D0D" w:themeColor="text1" w:themeTint="F2"/>
          <w:sz w:val="32"/>
        </w:rPr>
        <w:t>去(104)年</w:t>
      </w:r>
      <w:r>
        <w:rPr>
          <w:rFonts w:ascii="標楷體" w:eastAsia="標楷體" w:hAnsi="標楷體" w:hint="eastAsia"/>
          <w:color w:val="0D0D0D" w:themeColor="text1" w:themeTint="F2"/>
          <w:sz w:val="32"/>
        </w:rPr>
        <w:t>12月</w:t>
      </w:r>
      <w:r w:rsidRPr="00BF17F0">
        <w:rPr>
          <w:rFonts w:ascii="標楷體" w:eastAsia="標楷體" w:hAnsi="標楷體" w:hint="eastAsia"/>
          <w:color w:val="0D0D0D" w:themeColor="text1" w:themeTint="F2"/>
          <w:sz w:val="32"/>
        </w:rPr>
        <w:t>新增苗栗、彰化及雲林3站</w:t>
      </w:r>
      <w:r>
        <w:rPr>
          <w:rFonts w:ascii="標楷體" w:eastAsia="標楷體" w:hAnsi="標楷體" w:hint="eastAsia"/>
          <w:color w:val="0D0D0D" w:themeColor="text1" w:themeTint="F2"/>
          <w:sz w:val="32"/>
        </w:rPr>
        <w:t>，且調整列車時刻與調降票價，致</w:t>
      </w:r>
      <w:r w:rsidRPr="00BF17F0">
        <w:rPr>
          <w:rFonts w:ascii="標楷體" w:eastAsia="標楷體" w:hAnsi="標楷體" w:hint="eastAsia"/>
          <w:color w:val="0D0D0D" w:themeColor="text1" w:themeTint="F2"/>
          <w:sz w:val="32"/>
        </w:rPr>
        <w:t>平均每日載客15萬人次，較上年同期增12.0%，</w:t>
      </w:r>
      <w:r>
        <w:rPr>
          <w:rFonts w:ascii="標楷體" w:eastAsia="標楷體" w:hAnsi="標楷體" w:hint="eastAsia"/>
          <w:color w:val="0D0D0D" w:themeColor="text1" w:themeTint="F2"/>
          <w:sz w:val="32"/>
        </w:rPr>
        <w:t>其客座利用率更連7個月超越</w:t>
      </w:r>
      <w:proofErr w:type="gramStart"/>
      <w:r>
        <w:rPr>
          <w:rFonts w:ascii="標楷體" w:eastAsia="標楷體" w:hAnsi="標楷體" w:hint="eastAsia"/>
          <w:color w:val="0D0D0D" w:themeColor="text1" w:themeTint="F2"/>
          <w:sz w:val="32"/>
        </w:rPr>
        <w:t>6成</w:t>
      </w:r>
      <w:proofErr w:type="gramEnd"/>
      <w:r>
        <w:rPr>
          <w:rFonts w:ascii="標楷體" w:eastAsia="標楷體" w:hAnsi="標楷體" w:hint="eastAsia"/>
          <w:color w:val="0D0D0D" w:themeColor="text1" w:themeTint="F2"/>
          <w:sz w:val="32"/>
        </w:rPr>
        <w:t>，表現亮眼；另</w:t>
      </w:r>
      <w:r w:rsidRPr="00323B27">
        <w:rPr>
          <w:rFonts w:ascii="標楷體" w:eastAsia="標楷體" w:hAnsi="標楷體" w:hint="eastAsia"/>
          <w:color w:val="0D0D0D" w:themeColor="text1" w:themeTint="F2"/>
          <w:sz w:val="32"/>
        </w:rPr>
        <w:t>捷</w:t>
      </w:r>
      <w:r>
        <w:rPr>
          <w:rFonts w:ascii="標楷體" w:eastAsia="標楷體" w:hAnsi="標楷體" w:hint="eastAsia"/>
          <w:color w:val="0D0D0D" w:themeColor="text1" w:themeTint="F2"/>
          <w:sz w:val="32"/>
        </w:rPr>
        <w:t>運</w:t>
      </w:r>
      <w:r w:rsidRPr="00323B27">
        <w:rPr>
          <w:rFonts w:ascii="標楷體" w:eastAsia="標楷體" w:hAnsi="標楷體" w:hint="eastAsia"/>
          <w:color w:val="0D0D0D" w:themeColor="text1" w:themeTint="F2"/>
          <w:sz w:val="32"/>
        </w:rPr>
        <w:t>1-6月平均每日輸運</w:t>
      </w:r>
      <w:r>
        <w:rPr>
          <w:rFonts w:ascii="標楷體" w:eastAsia="標楷體" w:hAnsi="標楷體" w:hint="eastAsia"/>
          <w:color w:val="0D0D0D" w:themeColor="text1" w:themeTint="F2"/>
          <w:sz w:val="32"/>
        </w:rPr>
        <w:t>218</w:t>
      </w:r>
      <w:r w:rsidRPr="00323B27">
        <w:rPr>
          <w:rFonts w:ascii="標楷體" w:eastAsia="標楷體" w:hAnsi="標楷體" w:hint="eastAsia"/>
          <w:color w:val="0D0D0D" w:themeColor="text1" w:themeTint="F2"/>
          <w:sz w:val="32"/>
        </w:rPr>
        <w:t>萬人次(+3.</w:t>
      </w:r>
      <w:r>
        <w:rPr>
          <w:rFonts w:ascii="標楷體" w:eastAsia="標楷體" w:hAnsi="標楷體" w:hint="eastAsia"/>
          <w:color w:val="0D0D0D" w:themeColor="text1" w:themeTint="F2"/>
          <w:sz w:val="32"/>
        </w:rPr>
        <w:t>1</w:t>
      </w:r>
      <w:r w:rsidRPr="00323B27">
        <w:rPr>
          <w:rFonts w:ascii="標楷體" w:eastAsia="標楷體" w:hAnsi="標楷體" w:hint="eastAsia"/>
          <w:color w:val="0D0D0D" w:themeColor="text1" w:themeTint="F2"/>
          <w:sz w:val="32"/>
        </w:rPr>
        <w:t>%)，刷新同期紀錄</w:t>
      </w:r>
      <w:r>
        <w:rPr>
          <w:rFonts w:ascii="標楷體" w:eastAsia="標楷體" w:hAnsi="標楷體" w:hint="eastAsia"/>
          <w:color w:val="0D0D0D" w:themeColor="text1" w:themeTint="F2"/>
          <w:sz w:val="32"/>
        </w:rPr>
        <w:t>，</w:t>
      </w:r>
      <w:proofErr w:type="gramStart"/>
      <w:r w:rsidRPr="00BF17F0">
        <w:rPr>
          <w:rFonts w:ascii="標楷體" w:eastAsia="標楷體" w:hAnsi="標楷體" w:hint="eastAsia"/>
          <w:color w:val="0D0D0D" w:themeColor="text1" w:themeTint="F2"/>
          <w:sz w:val="32"/>
        </w:rPr>
        <w:t>臺</w:t>
      </w:r>
      <w:proofErr w:type="gramEnd"/>
      <w:r w:rsidRPr="00BF17F0">
        <w:rPr>
          <w:rFonts w:ascii="標楷體" w:eastAsia="標楷體" w:hAnsi="標楷體" w:hint="eastAsia"/>
          <w:color w:val="0D0D0D" w:themeColor="text1" w:themeTint="F2"/>
          <w:sz w:val="32"/>
        </w:rPr>
        <w:t>鐵平均每日</w:t>
      </w:r>
      <w:r>
        <w:rPr>
          <w:rFonts w:ascii="標楷體" w:eastAsia="標楷體" w:hAnsi="標楷體" w:hint="eastAsia"/>
          <w:color w:val="0D0D0D" w:themeColor="text1" w:themeTint="F2"/>
          <w:sz w:val="32"/>
        </w:rPr>
        <w:t>載客</w:t>
      </w:r>
      <w:r w:rsidRPr="00BF17F0">
        <w:rPr>
          <w:rFonts w:ascii="標楷體" w:eastAsia="標楷體" w:hAnsi="標楷體" w:hint="eastAsia"/>
          <w:color w:val="0D0D0D" w:themeColor="text1" w:themeTint="F2"/>
          <w:sz w:val="32"/>
        </w:rPr>
        <w:t>63萬人次</w:t>
      </w:r>
      <w:r>
        <w:rPr>
          <w:rFonts w:ascii="標楷體" w:eastAsia="標楷體" w:hAnsi="標楷體" w:hint="eastAsia"/>
          <w:color w:val="0D0D0D" w:themeColor="text1" w:themeTint="F2"/>
          <w:sz w:val="32"/>
        </w:rPr>
        <w:t>(-</w:t>
      </w:r>
      <w:r w:rsidRPr="00BF17F0">
        <w:rPr>
          <w:rFonts w:ascii="標楷體" w:eastAsia="標楷體" w:hAnsi="標楷體" w:hint="eastAsia"/>
          <w:color w:val="0D0D0D" w:themeColor="text1" w:themeTint="F2"/>
          <w:sz w:val="32"/>
        </w:rPr>
        <w:t>2.0%</w:t>
      </w:r>
      <w:r>
        <w:rPr>
          <w:rFonts w:ascii="標楷體" w:eastAsia="標楷體" w:hAnsi="標楷體" w:hint="eastAsia"/>
          <w:color w:val="0D0D0D" w:themeColor="text1" w:themeTint="F2"/>
          <w:sz w:val="32"/>
        </w:rPr>
        <w:t>)</w:t>
      </w:r>
      <w:r w:rsidRPr="00BF17F0">
        <w:rPr>
          <w:rFonts w:ascii="標楷體" w:eastAsia="標楷體" w:hAnsi="標楷體" w:hint="eastAsia"/>
          <w:color w:val="0D0D0D" w:themeColor="text1" w:themeTint="F2"/>
          <w:sz w:val="32"/>
        </w:rPr>
        <w:t>，</w:t>
      </w:r>
      <w:r>
        <w:rPr>
          <w:rFonts w:ascii="標楷體" w:eastAsia="標楷體" w:hAnsi="標楷體" w:hint="eastAsia"/>
          <w:color w:val="0D0D0D" w:themeColor="text1" w:themeTint="F2"/>
          <w:sz w:val="32"/>
        </w:rPr>
        <w:t>則為連續4年每日逾60萬人次搭乘。</w:t>
      </w:r>
    </w:p>
    <w:p w:rsidR="00375EEB" w:rsidRDefault="00E773A1" w:rsidP="00E773A1">
      <w:pPr>
        <w:spacing w:beforeLines="50" w:before="180" w:afterLines="50" w:after="180" w:line="460" w:lineRule="exact"/>
        <w:ind w:leftChars="50" w:left="120" w:rightChars="50" w:right="120" w:firstLineChars="200" w:firstLine="640"/>
        <w:jc w:val="both"/>
        <w:rPr>
          <w:rFonts w:ascii="標楷體" w:eastAsia="標楷體" w:hAnsi="標楷體"/>
          <w:color w:val="0D0D0D" w:themeColor="text1" w:themeTint="F2"/>
          <w:sz w:val="32"/>
        </w:rPr>
      </w:pPr>
      <w:r>
        <w:rPr>
          <w:rFonts w:ascii="標楷體" w:eastAsia="標楷體" w:hAnsi="標楷體" w:hint="eastAsia"/>
          <w:color w:val="0D0D0D" w:themeColor="text1" w:themeTint="F2"/>
          <w:sz w:val="32"/>
        </w:rPr>
        <w:t>在汽車客運方面，</w:t>
      </w:r>
      <w:r w:rsidRPr="00FB5478">
        <w:rPr>
          <w:rFonts w:ascii="標楷體" w:eastAsia="標楷體" w:hAnsi="標楷體" w:hint="eastAsia"/>
          <w:color w:val="0D0D0D" w:themeColor="text1" w:themeTint="F2"/>
          <w:sz w:val="32"/>
        </w:rPr>
        <w:t>105年1-6月平均每日載客332萬人次(-0.1%)</w:t>
      </w:r>
      <w:r w:rsidRPr="00D4380B">
        <w:rPr>
          <w:rFonts w:ascii="標楷體" w:eastAsia="標楷體" w:hAnsi="標楷體" w:hint="eastAsia"/>
          <w:color w:val="0D0D0D" w:themeColor="text1" w:themeTint="F2"/>
          <w:sz w:val="32"/>
        </w:rPr>
        <w:t>，</w:t>
      </w:r>
      <w:r>
        <w:rPr>
          <w:rFonts w:ascii="標楷體" w:eastAsia="標楷體" w:hAnsi="標楷體" w:hint="eastAsia"/>
          <w:color w:val="0D0D0D" w:themeColor="text1" w:themeTint="F2"/>
          <w:sz w:val="32"/>
        </w:rPr>
        <w:t>其中市區客運每日載客285萬人次，較上年微減0.4%，公路</w:t>
      </w:r>
      <w:r w:rsidRPr="00FB5478">
        <w:rPr>
          <w:rFonts w:ascii="標楷體" w:eastAsia="標楷體" w:hAnsi="標楷體" w:hint="eastAsia"/>
          <w:color w:val="0D0D0D" w:themeColor="text1" w:themeTint="F2"/>
          <w:sz w:val="32"/>
        </w:rPr>
        <w:t>客運</w:t>
      </w:r>
      <w:r w:rsidR="00351C7D">
        <w:rPr>
          <w:rFonts w:ascii="標楷體" w:eastAsia="標楷體" w:hAnsi="標楷體" w:hint="eastAsia"/>
          <w:color w:val="0D0D0D" w:themeColor="text1" w:themeTint="F2"/>
          <w:sz w:val="32"/>
        </w:rPr>
        <w:t>則</w:t>
      </w:r>
      <w:r w:rsidRPr="00FB5478">
        <w:rPr>
          <w:rFonts w:ascii="標楷體" w:eastAsia="標楷體" w:hAnsi="標楷體" w:hint="eastAsia"/>
          <w:color w:val="0D0D0D" w:themeColor="text1" w:themeTint="F2"/>
          <w:sz w:val="32"/>
        </w:rPr>
        <w:t>每日</w:t>
      </w:r>
      <w:r>
        <w:rPr>
          <w:rFonts w:ascii="標楷體" w:eastAsia="標楷體" w:hAnsi="標楷體" w:hint="eastAsia"/>
          <w:color w:val="0D0D0D" w:themeColor="text1" w:themeTint="F2"/>
          <w:sz w:val="32"/>
        </w:rPr>
        <w:t>載客47</w:t>
      </w:r>
      <w:r w:rsidRPr="00FB5478">
        <w:rPr>
          <w:rFonts w:ascii="標楷體" w:eastAsia="標楷體" w:hAnsi="標楷體" w:hint="eastAsia"/>
          <w:color w:val="0D0D0D" w:themeColor="text1" w:themeTint="F2"/>
          <w:sz w:val="32"/>
        </w:rPr>
        <w:t>萬人次</w:t>
      </w:r>
      <w:r>
        <w:rPr>
          <w:rFonts w:ascii="標楷體" w:eastAsia="標楷體" w:hAnsi="標楷體" w:hint="eastAsia"/>
          <w:color w:val="0D0D0D" w:themeColor="text1" w:themeTint="F2"/>
          <w:sz w:val="32"/>
        </w:rPr>
        <w:t>，較上年成長1.6%</w:t>
      </w:r>
      <w:r w:rsidRPr="00FB5478">
        <w:rPr>
          <w:rFonts w:ascii="標楷體" w:eastAsia="標楷體" w:hAnsi="標楷體" w:hint="eastAsia"/>
          <w:color w:val="0D0D0D" w:themeColor="text1" w:themeTint="F2"/>
          <w:sz w:val="32"/>
        </w:rPr>
        <w:t>，</w:t>
      </w:r>
      <w:r>
        <w:rPr>
          <w:rFonts w:ascii="標楷體" w:eastAsia="標楷體" w:hAnsi="標楷體" w:hint="eastAsia"/>
          <w:color w:val="0D0D0D" w:themeColor="text1" w:themeTint="F2"/>
          <w:sz w:val="32"/>
        </w:rPr>
        <w:t>為近8年同期首度反轉上升，主因業者調整路線間之班次分配，提高營運效能，包含增開通勤直達路線、桃園燈會接駁專區、桃園機場與</w:t>
      </w:r>
      <w:proofErr w:type="gramStart"/>
      <w:r>
        <w:rPr>
          <w:rFonts w:ascii="標楷體" w:eastAsia="標楷體" w:hAnsi="標楷體" w:hint="eastAsia"/>
          <w:color w:val="0D0D0D" w:themeColor="text1" w:themeTint="F2"/>
          <w:sz w:val="32"/>
        </w:rPr>
        <w:t>臺</w:t>
      </w:r>
      <w:proofErr w:type="gramEnd"/>
      <w:r>
        <w:rPr>
          <w:rFonts w:ascii="標楷體" w:eastAsia="標楷體" w:hAnsi="標楷體" w:hint="eastAsia"/>
          <w:color w:val="0D0D0D" w:themeColor="text1" w:themeTint="F2"/>
          <w:sz w:val="32"/>
        </w:rPr>
        <w:t>北接駁車等措施，推升每日公路客運載客量約增2萬人次</w:t>
      </w:r>
      <w:r w:rsidRPr="00475E80">
        <w:rPr>
          <w:rFonts w:ascii="標楷體" w:eastAsia="標楷體" w:hAnsi="標楷體" w:hint="eastAsia"/>
          <w:color w:val="0D0D0D" w:themeColor="text1" w:themeTint="F2"/>
          <w:sz w:val="32"/>
        </w:rPr>
        <w:t>。</w:t>
      </w:r>
    </w:p>
    <w:p w:rsidR="00375EEB" w:rsidRPr="00FE1A07" w:rsidRDefault="00E773A1" w:rsidP="00FE1A07">
      <w:pPr>
        <w:snapToGrid w:val="0"/>
        <w:spacing w:beforeLines="20" w:before="72" w:line="480" w:lineRule="exact"/>
        <w:ind w:left="38" w:rightChars="58" w:right="139" w:hangingChars="12" w:hanging="38"/>
        <w:jc w:val="center"/>
        <w:rPr>
          <w:rFonts w:ascii="標楷體" w:eastAsia="標楷體" w:hAnsi="標楷體"/>
          <w:sz w:val="32"/>
          <w:szCs w:val="32"/>
        </w:rPr>
      </w:pPr>
      <w:r w:rsidRPr="00FE1A07">
        <w:rPr>
          <w:rFonts w:ascii="標楷體" w:eastAsia="標楷體" w:hAnsi="標楷體" w:hint="eastAsia"/>
          <w:sz w:val="32"/>
          <w:szCs w:val="32"/>
        </w:rPr>
        <w:t>近6年1-6月</w:t>
      </w:r>
      <w:r w:rsidRPr="00FE1A07">
        <w:rPr>
          <w:rFonts w:ascii="標楷體" w:eastAsia="標楷體" w:hAnsi="標楷體" w:hint="eastAsia"/>
          <w:bCs/>
          <w:noProof/>
          <w:color w:val="000000"/>
          <w:sz w:val="32"/>
          <w:szCs w:val="32"/>
        </w:rPr>
        <w:t>軌道</w:t>
      </w:r>
      <w:r w:rsidRPr="00FE1A07">
        <w:rPr>
          <w:rFonts w:ascii="標楷體" w:eastAsia="標楷體" w:hAnsi="標楷體" w:hint="eastAsia"/>
          <w:sz w:val="32"/>
          <w:szCs w:val="32"/>
        </w:rPr>
        <w:t>及汽車運輸平均每日載客人數</w:t>
      </w:r>
    </w:p>
    <w:p w:rsidR="00AC3C68" w:rsidRDefault="00E773A1" w:rsidP="00375EEB">
      <w:pPr>
        <w:pStyle w:val="a8"/>
      </w:pPr>
      <w:r w:rsidRPr="006B7189">
        <w:rPr>
          <w:noProof/>
        </w:rPr>
        <w:drawing>
          <wp:anchor distT="0" distB="0" distL="114300" distR="114300" simplePos="0" relativeHeight="251804672" behindDoc="0" locked="0" layoutInCell="1" allowOverlap="1" wp14:anchorId="756ED6B9" wp14:editId="38305ADD">
            <wp:simplePos x="0" y="0"/>
            <wp:positionH relativeFrom="column">
              <wp:posOffset>109855</wp:posOffset>
            </wp:positionH>
            <wp:positionV relativeFrom="paragraph">
              <wp:posOffset>106680</wp:posOffset>
            </wp:positionV>
            <wp:extent cx="5228025" cy="2688505"/>
            <wp:effectExtent l="19050" t="19050" r="10795" b="17145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01"/>
                    <a:stretch/>
                  </pic:blipFill>
                  <pic:spPr bwMode="auto">
                    <a:xfrm>
                      <a:off x="0" y="0"/>
                      <a:ext cx="5228025" cy="26885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EEB">
        <w:br w:type="page"/>
      </w:r>
    </w:p>
    <w:p w:rsidR="00695C3B" w:rsidRPr="00B03AE0" w:rsidRDefault="00987CD7" w:rsidP="00B03AE0">
      <w:pPr>
        <w:snapToGrid w:val="0"/>
        <w:spacing w:afterLines="50" w:after="180" w:line="400" w:lineRule="exact"/>
        <w:ind w:leftChars="-49" w:left="574" w:rightChars="-50" w:right="-120" w:hangingChars="192" w:hanging="692"/>
        <w:rPr>
          <w:rFonts w:ascii="標楷體" w:eastAsia="標楷體" w:hAnsi="標楷體"/>
          <w:b/>
          <w:sz w:val="36"/>
          <w:szCs w:val="36"/>
        </w:rPr>
      </w:pPr>
      <w:r w:rsidRPr="00B03AE0">
        <w:rPr>
          <w:rFonts w:ascii="標楷體" w:eastAsia="標楷體" w:hAnsi="標楷體" w:hint="eastAsia"/>
          <w:b/>
          <w:bCs/>
          <w:color w:val="0D0D0D" w:themeColor="text1" w:themeTint="F2"/>
          <w:sz w:val="36"/>
          <w:szCs w:val="36"/>
        </w:rPr>
        <w:lastRenderedPageBreak/>
        <w:t>二、</w:t>
      </w:r>
      <w:r w:rsidR="00A2710E" w:rsidRPr="00A2710E">
        <w:rPr>
          <w:rFonts w:ascii="標楷體" w:eastAsia="標楷體" w:hAnsi="標楷體" w:hint="eastAsia"/>
          <w:b/>
          <w:bCs/>
          <w:spacing w:val="-2"/>
          <w:kern w:val="0"/>
          <w:sz w:val="36"/>
          <w:szCs w:val="36"/>
        </w:rPr>
        <w:t>國道高速公路每日通行</w:t>
      </w:r>
      <w:proofErr w:type="gramStart"/>
      <w:r w:rsidR="00A2710E" w:rsidRPr="00A2710E">
        <w:rPr>
          <w:rFonts w:ascii="標楷體" w:eastAsia="標楷體" w:hAnsi="標楷體" w:hint="eastAsia"/>
          <w:b/>
          <w:bCs/>
          <w:spacing w:val="-2"/>
          <w:kern w:val="0"/>
          <w:sz w:val="36"/>
          <w:szCs w:val="36"/>
        </w:rPr>
        <w:t>車輛數續增</w:t>
      </w:r>
      <w:proofErr w:type="gramEnd"/>
    </w:p>
    <w:p w:rsidR="00A2710E" w:rsidRPr="004B1C2B" w:rsidRDefault="00A2710E" w:rsidP="00A2710E">
      <w:pPr>
        <w:spacing w:beforeLines="50" w:before="180" w:afterLines="50" w:after="180" w:line="460" w:lineRule="exact"/>
        <w:ind w:leftChars="70" w:left="168" w:rightChars="84" w:right="202" w:firstLineChars="218" w:firstLine="698"/>
        <w:jc w:val="both"/>
        <w:rPr>
          <w:rFonts w:ascii="標楷體" w:eastAsia="標楷體" w:hAnsi="標楷體"/>
          <w:color w:val="0D0D0D" w:themeColor="text1" w:themeTint="F2"/>
          <w:sz w:val="32"/>
        </w:rPr>
      </w:pPr>
      <w:r>
        <w:rPr>
          <w:rFonts w:ascii="標楷體" w:eastAsia="標楷體" w:hAnsi="標楷體" w:hint="eastAsia"/>
          <w:color w:val="0D0D0D" w:themeColor="text1" w:themeTint="F2"/>
          <w:sz w:val="32"/>
        </w:rPr>
        <w:t>觀察國道按日歸戶之車輛數統計，本(</w:t>
      </w:r>
      <w:r w:rsidRPr="004B1C2B">
        <w:rPr>
          <w:rFonts w:ascii="標楷體" w:eastAsia="標楷體" w:hAnsi="標楷體" w:hint="eastAsia"/>
          <w:color w:val="0D0D0D" w:themeColor="text1" w:themeTint="F2"/>
          <w:sz w:val="32"/>
        </w:rPr>
        <w:t>105</w:t>
      </w:r>
      <w:r>
        <w:rPr>
          <w:rFonts w:ascii="標楷體" w:eastAsia="標楷體" w:hAnsi="標楷體" w:hint="eastAsia"/>
          <w:color w:val="0D0D0D" w:themeColor="text1" w:themeTint="F2"/>
          <w:sz w:val="32"/>
        </w:rPr>
        <w:t>)</w:t>
      </w:r>
      <w:r w:rsidRPr="004B1C2B">
        <w:rPr>
          <w:rFonts w:ascii="標楷體" w:eastAsia="標楷體" w:hAnsi="標楷體" w:hint="eastAsia"/>
          <w:color w:val="0D0D0D" w:themeColor="text1" w:themeTint="F2"/>
          <w:sz w:val="32"/>
        </w:rPr>
        <w:t>年1-6月平均每日通行14</w:t>
      </w:r>
      <w:r>
        <w:rPr>
          <w:rFonts w:ascii="標楷體" w:eastAsia="標楷體" w:hAnsi="標楷體" w:hint="eastAsia"/>
          <w:color w:val="0D0D0D" w:themeColor="text1" w:themeTint="F2"/>
          <w:sz w:val="32"/>
        </w:rPr>
        <w:t>5</w:t>
      </w:r>
      <w:r w:rsidRPr="004B1C2B">
        <w:rPr>
          <w:rFonts w:ascii="標楷體" w:eastAsia="標楷體" w:hAnsi="標楷體" w:hint="eastAsia"/>
          <w:color w:val="0D0D0D" w:themeColor="text1" w:themeTint="F2"/>
          <w:sz w:val="32"/>
        </w:rPr>
        <w:t>萬輛</w:t>
      </w:r>
      <w:r>
        <w:rPr>
          <w:rFonts w:ascii="標楷體" w:eastAsia="標楷體" w:hAnsi="標楷體" w:hint="eastAsia"/>
          <w:color w:val="0D0D0D" w:themeColor="text1" w:themeTint="F2"/>
          <w:sz w:val="32"/>
        </w:rPr>
        <w:t>(+</w:t>
      </w:r>
      <w:r w:rsidRPr="004B1C2B">
        <w:rPr>
          <w:rFonts w:ascii="標楷體" w:eastAsia="標楷體" w:hAnsi="標楷體" w:hint="eastAsia"/>
          <w:color w:val="0D0D0D" w:themeColor="text1" w:themeTint="F2"/>
          <w:sz w:val="32"/>
        </w:rPr>
        <w:t>2.4%</w:t>
      </w:r>
      <w:r>
        <w:rPr>
          <w:rFonts w:ascii="標楷體" w:eastAsia="標楷體" w:hAnsi="標楷體" w:hint="eastAsia"/>
          <w:color w:val="0D0D0D" w:themeColor="text1" w:themeTint="F2"/>
          <w:sz w:val="32"/>
        </w:rPr>
        <w:t>)，已連續2年增加，主因油價較</w:t>
      </w:r>
      <w:r w:rsidR="0098787A">
        <w:rPr>
          <w:rFonts w:ascii="標楷體" w:eastAsia="標楷體" w:hAnsi="標楷體" w:hint="eastAsia"/>
          <w:color w:val="0D0D0D" w:themeColor="text1" w:themeTint="F2"/>
          <w:sz w:val="32"/>
        </w:rPr>
        <w:t>上</w:t>
      </w:r>
      <w:r>
        <w:rPr>
          <w:rFonts w:ascii="標楷體" w:eastAsia="標楷體" w:hAnsi="標楷體" w:hint="eastAsia"/>
          <w:color w:val="0D0D0D" w:themeColor="text1" w:themeTint="F2"/>
          <w:sz w:val="32"/>
        </w:rPr>
        <w:t>年同期下跌，小型車每日通行138萬輛，較上年同期增2.6%所致，另大型車與聯結車受景氣下滑影響，每日通行輛數分別為5萬輛及2萬輛，較上年同期減少0.6%及2.3%。</w:t>
      </w:r>
    </w:p>
    <w:p w:rsidR="00A2710E" w:rsidRDefault="00A2710E" w:rsidP="00A2710E">
      <w:pPr>
        <w:spacing w:beforeLines="50" w:before="180" w:afterLines="50" w:after="180" w:line="460" w:lineRule="exact"/>
        <w:ind w:leftChars="70" w:left="168" w:rightChars="84" w:right="202" w:firstLineChars="218" w:firstLine="698"/>
        <w:jc w:val="both"/>
        <w:rPr>
          <w:rFonts w:ascii="標楷體" w:eastAsia="標楷體" w:hAnsi="標楷體"/>
          <w:color w:val="0D0D0D" w:themeColor="text1" w:themeTint="F2"/>
          <w:sz w:val="32"/>
        </w:rPr>
      </w:pPr>
      <w:r w:rsidRPr="00C43CDF">
        <w:rPr>
          <w:rFonts w:ascii="標楷體" w:eastAsia="標楷體" w:hAnsi="標楷體" w:hint="eastAsia"/>
          <w:color w:val="0D0D0D" w:themeColor="text1" w:themeTint="F2"/>
          <w:sz w:val="32"/>
        </w:rPr>
        <w:t>105年</w:t>
      </w:r>
      <w:r>
        <w:rPr>
          <w:rFonts w:ascii="標楷體" w:eastAsia="標楷體" w:hAnsi="標楷體" w:hint="eastAsia"/>
          <w:color w:val="0D0D0D" w:themeColor="text1" w:themeTint="F2"/>
          <w:sz w:val="32"/>
        </w:rPr>
        <w:t>6</w:t>
      </w:r>
      <w:r w:rsidRPr="00C43CDF">
        <w:rPr>
          <w:rFonts w:ascii="標楷體" w:eastAsia="標楷體" w:hAnsi="標楷體" w:hint="eastAsia"/>
          <w:color w:val="0D0D0D" w:themeColor="text1" w:themeTint="F2"/>
          <w:sz w:val="32"/>
        </w:rPr>
        <w:t>月底</w:t>
      </w:r>
      <w:r>
        <w:rPr>
          <w:rFonts w:ascii="標楷體" w:eastAsia="標楷體" w:hAnsi="標楷體" w:hint="eastAsia"/>
          <w:color w:val="0D0D0D" w:themeColor="text1" w:themeTint="F2"/>
          <w:sz w:val="32"/>
        </w:rPr>
        <w:t>國道</w:t>
      </w:r>
      <w:r w:rsidRPr="00C43CDF">
        <w:rPr>
          <w:rFonts w:ascii="標楷體" w:eastAsia="標楷體" w:hAnsi="標楷體" w:hint="eastAsia"/>
          <w:color w:val="0D0D0D" w:themeColor="text1" w:themeTint="F2"/>
          <w:sz w:val="32"/>
        </w:rPr>
        <w:t>共設有329</w:t>
      </w:r>
      <w:r>
        <w:rPr>
          <w:rFonts w:ascii="標楷體" w:eastAsia="標楷體" w:hAnsi="標楷體" w:hint="eastAsia"/>
          <w:color w:val="0D0D0D" w:themeColor="text1" w:themeTint="F2"/>
          <w:sz w:val="32"/>
        </w:rPr>
        <w:t>個收費路段，較上年同月底</w:t>
      </w:r>
      <w:r w:rsidRPr="00C43CDF">
        <w:rPr>
          <w:rFonts w:ascii="標楷體" w:eastAsia="標楷體" w:hAnsi="標楷體" w:hint="eastAsia"/>
          <w:color w:val="0D0D0D" w:themeColor="text1" w:themeTint="F2"/>
          <w:sz w:val="32"/>
        </w:rPr>
        <w:t>增加12個收費路段，</w:t>
      </w:r>
      <w:r>
        <w:rPr>
          <w:rFonts w:ascii="標楷體" w:eastAsia="標楷體" w:hAnsi="標楷體" w:hint="eastAsia"/>
          <w:color w:val="0D0D0D" w:themeColor="text1" w:themeTint="F2"/>
          <w:sz w:val="32"/>
        </w:rPr>
        <w:t>致累計</w:t>
      </w:r>
      <w:r w:rsidRPr="00C43CDF">
        <w:rPr>
          <w:rFonts w:ascii="標楷體" w:eastAsia="標楷體" w:hAnsi="標楷體" w:hint="eastAsia"/>
          <w:color w:val="0D0D0D" w:themeColor="text1" w:themeTint="F2"/>
          <w:sz w:val="32"/>
        </w:rPr>
        <w:t>1-6月通行各收費路段</w:t>
      </w:r>
      <w:r>
        <w:rPr>
          <w:rFonts w:ascii="標楷體" w:eastAsia="標楷體" w:hAnsi="標楷體" w:hint="eastAsia"/>
          <w:color w:val="0D0D0D" w:themeColor="text1" w:themeTint="F2"/>
          <w:sz w:val="32"/>
        </w:rPr>
        <w:t>車輛數總計</w:t>
      </w:r>
      <w:r w:rsidRPr="00C43CDF">
        <w:rPr>
          <w:rFonts w:ascii="標楷體" w:eastAsia="標楷體" w:hAnsi="標楷體" w:hint="eastAsia"/>
          <w:color w:val="0D0D0D" w:themeColor="text1" w:themeTint="F2"/>
          <w:sz w:val="32"/>
        </w:rPr>
        <w:t>達2</w:t>
      </w:r>
      <w:r>
        <w:rPr>
          <w:rFonts w:ascii="標楷體" w:eastAsia="標楷體" w:hAnsi="標楷體" w:hint="eastAsia"/>
          <w:color w:val="0D0D0D" w:themeColor="text1" w:themeTint="F2"/>
          <w:sz w:val="32"/>
        </w:rPr>
        <w:t>9</w:t>
      </w:r>
      <w:r w:rsidRPr="00C43CDF">
        <w:rPr>
          <w:rFonts w:ascii="標楷體" w:eastAsia="標楷體" w:hAnsi="標楷體" w:hint="eastAsia"/>
          <w:color w:val="0D0D0D" w:themeColor="text1" w:themeTint="F2"/>
          <w:sz w:val="32"/>
        </w:rPr>
        <w:t>億輛次，</w:t>
      </w:r>
      <w:r>
        <w:rPr>
          <w:rFonts w:ascii="標楷體" w:eastAsia="標楷體" w:hAnsi="標楷體" w:hint="eastAsia"/>
          <w:color w:val="0D0D0D" w:themeColor="text1" w:themeTint="F2"/>
          <w:sz w:val="32"/>
        </w:rPr>
        <w:t>較上年同期</w:t>
      </w:r>
      <w:r w:rsidRPr="00C43CDF">
        <w:rPr>
          <w:rFonts w:ascii="標楷體" w:eastAsia="標楷體" w:hAnsi="標楷體" w:hint="eastAsia"/>
          <w:color w:val="0D0D0D" w:themeColor="text1" w:themeTint="F2"/>
          <w:sz w:val="32"/>
        </w:rPr>
        <w:t>增加5</w:t>
      </w:r>
      <w:r w:rsidRPr="00A72900">
        <w:rPr>
          <w:rFonts w:ascii="標楷體" w:eastAsia="標楷體" w:hAnsi="標楷體" w:hint="eastAsia"/>
          <w:color w:val="0D0D0D" w:themeColor="text1" w:themeTint="F2"/>
          <w:sz w:val="32"/>
        </w:rPr>
        <w:t>.2%，</w:t>
      </w:r>
      <w:r>
        <w:rPr>
          <w:rFonts w:ascii="標楷體" w:eastAsia="標楷體" w:hAnsi="標楷體" w:hint="eastAsia"/>
          <w:color w:val="0D0D0D" w:themeColor="text1" w:themeTint="F2"/>
          <w:sz w:val="32"/>
        </w:rPr>
        <w:t>惟</w:t>
      </w:r>
      <w:r w:rsidRPr="00A72900">
        <w:rPr>
          <w:rFonts w:ascii="標楷體" w:eastAsia="標楷體" w:hAnsi="標楷體" w:hint="eastAsia"/>
          <w:color w:val="0D0D0D" w:themeColor="text1" w:themeTint="F2"/>
          <w:sz w:val="32"/>
        </w:rPr>
        <w:t>平均每路段每分鐘雙向通行</w:t>
      </w:r>
      <w:r>
        <w:rPr>
          <w:rFonts w:ascii="標楷體" w:eastAsia="標楷體" w:hAnsi="標楷體" w:hint="eastAsia"/>
          <w:color w:val="0D0D0D" w:themeColor="text1" w:themeTint="F2"/>
          <w:sz w:val="32"/>
        </w:rPr>
        <w:t>車輛數為67輛次、每車每日行駛國道里程數為57.0公里，分別僅微幅增1輛次(或+0.8%)及0.2公里(或+0.3%)。</w:t>
      </w:r>
    </w:p>
    <w:p w:rsidR="00375EEB" w:rsidRPr="0087682C" w:rsidRDefault="00A2710E" w:rsidP="00A2710E">
      <w:pPr>
        <w:spacing w:beforeLines="50" w:before="180" w:afterLines="50" w:after="180" w:line="460" w:lineRule="exact"/>
        <w:ind w:leftChars="70" w:left="168" w:rightChars="84" w:right="202" w:firstLineChars="218" w:firstLine="698"/>
        <w:jc w:val="both"/>
        <w:rPr>
          <w:rFonts w:ascii="標楷體" w:eastAsia="標楷體" w:hAnsi="標楷體"/>
          <w:color w:val="0D0D0D" w:themeColor="text1" w:themeTint="F2"/>
          <w:sz w:val="32"/>
        </w:rPr>
      </w:pPr>
      <w:r>
        <w:rPr>
          <w:rFonts w:ascii="標楷體" w:eastAsia="標楷體" w:hAnsi="標楷體" w:hint="eastAsia"/>
          <w:color w:val="0D0D0D" w:themeColor="text1" w:themeTint="F2"/>
          <w:sz w:val="32"/>
        </w:rPr>
        <w:t>105年1-6月國道高速公路平均每日通行費收入6,303萬元，較上年同期增2.4%，就車種別觀察，以小型車5,228萬元(占82.9%)最高，其次依序為聯結車561萬元(占8.9%)及大型車515萬元(占8.2%)</w:t>
      </w:r>
      <w:r w:rsidR="0084117F" w:rsidRPr="0084117F">
        <w:rPr>
          <w:rFonts w:ascii="標楷體" w:eastAsia="標楷體" w:hAnsi="標楷體" w:hint="eastAsia"/>
          <w:spacing w:val="-2"/>
          <w:kern w:val="0"/>
          <w:sz w:val="32"/>
        </w:rPr>
        <w:t>。</w:t>
      </w:r>
    </w:p>
    <w:p w:rsidR="00375EEB" w:rsidRPr="00FE1A07" w:rsidRDefault="00415BA8" w:rsidP="00FE1A07">
      <w:pPr>
        <w:snapToGrid w:val="0"/>
        <w:spacing w:beforeLines="20" w:before="72" w:line="480" w:lineRule="exact"/>
        <w:ind w:left="38" w:rightChars="58" w:right="139" w:hangingChars="12" w:hanging="38"/>
        <w:jc w:val="center"/>
        <w:rPr>
          <w:rFonts w:ascii="標楷體" w:eastAsia="標楷體" w:hAnsi="標楷體"/>
          <w:sz w:val="32"/>
          <w:szCs w:val="32"/>
        </w:rPr>
      </w:pPr>
      <w:r w:rsidRPr="00FE1A07">
        <w:rPr>
          <w:rFonts w:ascii="標楷體" w:eastAsia="標楷體" w:hAnsi="標楷體" w:hint="eastAsia"/>
          <w:sz w:val="32"/>
          <w:szCs w:val="32"/>
        </w:rPr>
        <w:t>近6年1-</w:t>
      </w:r>
      <w:r w:rsidR="00A2710E" w:rsidRPr="00FE1A07">
        <w:rPr>
          <w:rFonts w:ascii="標楷體" w:eastAsia="標楷體" w:hAnsi="標楷體" w:hint="eastAsia"/>
          <w:sz w:val="32"/>
          <w:szCs w:val="32"/>
        </w:rPr>
        <w:t>6月</w:t>
      </w:r>
      <w:r w:rsidRPr="00FE1A07">
        <w:rPr>
          <w:rFonts w:ascii="標楷體" w:eastAsia="標楷體" w:hAnsi="標楷體" w:hint="eastAsia"/>
          <w:sz w:val="32"/>
          <w:szCs w:val="32"/>
        </w:rPr>
        <w:t>高速公路平均每日通行費收入</w:t>
      </w:r>
    </w:p>
    <w:p w:rsidR="00BF4A05" w:rsidRDefault="00E773A1" w:rsidP="00803F04">
      <w:pPr>
        <w:pStyle w:val="a9"/>
      </w:pPr>
      <w:r w:rsidRPr="00264ED1">
        <w:rPr>
          <w:noProof/>
        </w:rPr>
        <w:drawing>
          <wp:anchor distT="0" distB="0" distL="114300" distR="114300" simplePos="0" relativeHeight="251806720" behindDoc="0" locked="0" layoutInCell="1" allowOverlap="1" wp14:anchorId="419BFAB7" wp14:editId="17EE0F2E">
            <wp:simplePos x="0" y="0"/>
            <wp:positionH relativeFrom="column">
              <wp:posOffset>162560</wp:posOffset>
            </wp:positionH>
            <wp:positionV relativeFrom="paragraph">
              <wp:posOffset>82550</wp:posOffset>
            </wp:positionV>
            <wp:extent cx="5214639" cy="2209800"/>
            <wp:effectExtent l="19050" t="19050" r="24130" b="1905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24" t="10588" r="7582" b="12219"/>
                    <a:stretch/>
                  </pic:blipFill>
                  <pic:spPr bwMode="auto">
                    <a:xfrm>
                      <a:off x="0" y="0"/>
                      <a:ext cx="5214639" cy="22098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EEB" w:rsidRDefault="00375EEB" w:rsidP="00803F04">
      <w:pPr>
        <w:pStyle w:val="a9"/>
      </w:pPr>
    </w:p>
    <w:p w:rsidR="00B03AE0" w:rsidRDefault="00B03AE0" w:rsidP="00803F04">
      <w:pPr>
        <w:pStyle w:val="a9"/>
      </w:pPr>
    </w:p>
    <w:p w:rsidR="00375EEB" w:rsidRDefault="00375EEB" w:rsidP="00803F04">
      <w:pPr>
        <w:pStyle w:val="a9"/>
      </w:pPr>
    </w:p>
    <w:p w:rsidR="00803F04" w:rsidRDefault="00803F04" w:rsidP="00803F04">
      <w:pPr>
        <w:pStyle w:val="a9"/>
      </w:pPr>
    </w:p>
    <w:p w:rsidR="00415BA8" w:rsidRDefault="00415BA8" w:rsidP="00803F04">
      <w:pPr>
        <w:spacing w:beforeLines="100" w:before="360" w:line="200" w:lineRule="exact"/>
        <w:jc w:val="both"/>
        <w:rPr>
          <w:rFonts w:ascii="標楷體" w:eastAsia="標楷體" w:hAnsi="標楷體"/>
          <w:sz w:val="32"/>
        </w:rPr>
      </w:pPr>
    </w:p>
    <w:p w:rsidR="00803F04" w:rsidRDefault="00803F04" w:rsidP="00803F04">
      <w:pPr>
        <w:spacing w:beforeLines="100" w:before="360" w:line="200" w:lineRule="exact"/>
        <w:jc w:val="both"/>
        <w:rPr>
          <w:rFonts w:ascii="標楷體" w:eastAsia="標楷體" w:hAnsi="標楷體"/>
          <w:sz w:val="32"/>
        </w:rPr>
      </w:pPr>
    </w:p>
    <w:p w:rsidR="00803F04" w:rsidRDefault="00803F04" w:rsidP="00803F04">
      <w:pPr>
        <w:spacing w:beforeLines="100" w:before="360" w:line="200" w:lineRule="exact"/>
        <w:jc w:val="both"/>
        <w:rPr>
          <w:rFonts w:ascii="標楷體" w:eastAsia="標楷體" w:hAnsi="標楷體"/>
          <w:sz w:val="22"/>
          <w:szCs w:val="22"/>
        </w:rPr>
      </w:pPr>
    </w:p>
    <w:p w:rsidR="00A2710E" w:rsidRPr="00D2602F" w:rsidRDefault="00A2710E" w:rsidP="00A2710E">
      <w:pPr>
        <w:spacing w:line="240" w:lineRule="exact"/>
        <w:ind w:leftChars="143" w:left="1133" w:hangingChars="395" w:hanging="790"/>
        <w:jc w:val="both"/>
        <w:rPr>
          <w:rFonts w:ascii="標楷體" w:eastAsia="標楷體" w:hAnsi="標楷體"/>
          <w:sz w:val="20"/>
          <w:szCs w:val="20"/>
        </w:rPr>
      </w:pPr>
      <w:r w:rsidRPr="00D2602F">
        <w:rPr>
          <w:rFonts w:ascii="標楷體" w:eastAsia="標楷體" w:hAnsi="標楷體" w:hint="eastAsia"/>
          <w:sz w:val="20"/>
          <w:szCs w:val="20"/>
        </w:rPr>
        <w:t>說明：1.</w:t>
      </w:r>
      <w:r w:rsidRPr="00D2602F">
        <w:rPr>
          <w:rFonts w:ascii="標楷體" w:eastAsia="標楷體" w:hAnsi="標楷體"/>
          <w:sz w:val="20"/>
          <w:szCs w:val="20"/>
        </w:rPr>
        <w:t>102年12月30日全面實施國道計程電子收費，且暫停收費3天(102年12月30日至103年1月1日)</w:t>
      </w:r>
      <w:r w:rsidRPr="00D2602F">
        <w:rPr>
          <w:rFonts w:ascii="標楷體" w:eastAsia="標楷體" w:hAnsi="標楷體" w:hint="eastAsia"/>
          <w:sz w:val="20"/>
          <w:szCs w:val="20"/>
        </w:rPr>
        <w:t>。</w:t>
      </w:r>
    </w:p>
    <w:p w:rsidR="00A2710E" w:rsidRPr="00D2602F" w:rsidRDefault="00A2710E" w:rsidP="00A2710E">
      <w:pPr>
        <w:spacing w:line="240" w:lineRule="exact"/>
        <w:ind w:leftChars="385" w:left="1114" w:hangingChars="95" w:hanging="190"/>
        <w:jc w:val="both"/>
        <w:rPr>
          <w:rFonts w:ascii="標楷體" w:eastAsia="標楷體" w:hAnsi="標楷體"/>
          <w:sz w:val="20"/>
          <w:szCs w:val="20"/>
        </w:rPr>
      </w:pPr>
      <w:r w:rsidRPr="00D2602F">
        <w:rPr>
          <w:rFonts w:ascii="標楷體" w:eastAsia="標楷體" w:hAnsi="標楷體" w:hint="eastAsia"/>
          <w:sz w:val="20"/>
          <w:szCs w:val="20"/>
        </w:rPr>
        <w:t>2.本分析</w:t>
      </w:r>
      <w:proofErr w:type="gramStart"/>
      <w:r w:rsidRPr="00D2602F">
        <w:rPr>
          <w:rFonts w:ascii="標楷體" w:eastAsia="標楷體" w:hAnsi="標楷體" w:hint="eastAsia"/>
          <w:sz w:val="20"/>
          <w:szCs w:val="20"/>
        </w:rPr>
        <w:t>資料僅含國道</w:t>
      </w:r>
      <w:proofErr w:type="gramEnd"/>
      <w:r w:rsidRPr="00D2602F">
        <w:rPr>
          <w:rFonts w:ascii="標楷體" w:eastAsia="標楷體" w:hAnsi="標楷體" w:hint="eastAsia"/>
          <w:sz w:val="20"/>
          <w:szCs w:val="20"/>
        </w:rPr>
        <w:t>縱向系統各收費路段之統計。</w:t>
      </w:r>
    </w:p>
    <w:p w:rsidR="00695C3B" w:rsidRDefault="00A2710E" w:rsidP="00A2710E">
      <w:pPr>
        <w:spacing w:line="240" w:lineRule="exact"/>
        <w:ind w:leftChars="385" w:left="1114" w:hangingChars="95" w:hanging="190"/>
        <w:jc w:val="both"/>
        <w:rPr>
          <w:rFonts w:ascii="標楷體" w:eastAsia="標楷體" w:hAnsi="標楷體"/>
          <w:sz w:val="22"/>
          <w:szCs w:val="22"/>
        </w:rPr>
      </w:pPr>
      <w:r w:rsidRPr="00D2602F">
        <w:rPr>
          <w:rFonts w:ascii="標楷體" w:eastAsia="標楷體" w:hAnsi="標楷體" w:hint="eastAsia"/>
          <w:sz w:val="20"/>
          <w:szCs w:val="20"/>
        </w:rPr>
        <w:t>3.每車通過各收費路段按日歸戶統計之車輛數</w:t>
      </w:r>
      <w:proofErr w:type="gramStart"/>
      <w:r w:rsidRPr="00D2602F">
        <w:rPr>
          <w:rFonts w:ascii="標楷體" w:eastAsia="標楷體" w:hAnsi="標楷體" w:hint="eastAsia"/>
          <w:sz w:val="20"/>
          <w:szCs w:val="20"/>
        </w:rPr>
        <w:t>不含免收</w:t>
      </w:r>
      <w:proofErr w:type="gramEnd"/>
      <w:r w:rsidRPr="00D2602F">
        <w:rPr>
          <w:rFonts w:ascii="標楷體" w:eastAsia="標楷體" w:hAnsi="標楷體" w:hint="eastAsia"/>
          <w:sz w:val="20"/>
          <w:szCs w:val="20"/>
        </w:rPr>
        <w:t>通行費期間之通行資料。</w:t>
      </w:r>
    </w:p>
    <w:p w:rsidR="00375EEB" w:rsidRDefault="00375EEB" w:rsidP="00EF6952">
      <w:pPr>
        <w:widowControl/>
        <w:spacing w:line="240" w:lineRule="exac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br w:type="page"/>
      </w:r>
    </w:p>
    <w:p w:rsidR="00BE6F81" w:rsidRPr="00B03AE0" w:rsidRDefault="00BE6F81" w:rsidP="00BE6F81">
      <w:pPr>
        <w:snapToGrid w:val="0"/>
        <w:spacing w:afterLines="50" w:after="180" w:line="400" w:lineRule="exact"/>
        <w:ind w:leftChars="-49" w:left="543" w:rightChars="-50" w:right="-120" w:hangingChars="192" w:hanging="661"/>
        <w:rPr>
          <w:rFonts w:ascii="標楷體" w:eastAsia="標楷體" w:hAnsi="標楷體"/>
          <w:b/>
          <w:bCs/>
          <w:spacing w:val="-8"/>
          <w:kern w:val="0"/>
          <w:sz w:val="36"/>
          <w:szCs w:val="36"/>
        </w:rPr>
      </w:pPr>
      <w:r>
        <w:rPr>
          <w:rFonts w:ascii="標楷體" w:eastAsia="標楷體" w:hAnsi="標楷體" w:hint="eastAsia"/>
          <w:b/>
          <w:bCs/>
          <w:color w:val="0D0D0D" w:themeColor="text1" w:themeTint="F2"/>
          <w:spacing w:val="-8"/>
          <w:kern w:val="0"/>
          <w:sz w:val="36"/>
          <w:szCs w:val="36"/>
        </w:rPr>
        <w:lastRenderedPageBreak/>
        <w:t>三</w:t>
      </w:r>
      <w:r w:rsidRPr="00B03AE0">
        <w:rPr>
          <w:rFonts w:ascii="標楷體" w:eastAsia="標楷體" w:hAnsi="標楷體" w:hint="eastAsia"/>
          <w:b/>
          <w:bCs/>
          <w:spacing w:val="-8"/>
          <w:kern w:val="0"/>
          <w:sz w:val="36"/>
          <w:szCs w:val="36"/>
        </w:rPr>
        <w:t>、</w:t>
      </w:r>
      <w:proofErr w:type="gramStart"/>
      <w:r w:rsidRPr="00FD395E">
        <w:rPr>
          <w:rFonts w:ascii="標楷體" w:eastAsia="標楷體" w:hAnsi="標楷體" w:hint="eastAsia"/>
          <w:b/>
          <w:bCs/>
          <w:spacing w:val="-8"/>
          <w:kern w:val="0"/>
          <w:sz w:val="36"/>
          <w:szCs w:val="36"/>
        </w:rPr>
        <w:t>臺</w:t>
      </w:r>
      <w:proofErr w:type="gramEnd"/>
      <w:r w:rsidRPr="00FD395E">
        <w:rPr>
          <w:rFonts w:ascii="標楷體" w:eastAsia="標楷體" w:hAnsi="標楷體" w:hint="eastAsia"/>
          <w:b/>
          <w:bCs/>
          <w:spacing w:val="-8"/>
          <w:kern w:val="0"/>
          <w:sz w:val="36"/>
          <w:szCs w:val="36"/>
        </w:rPr>
        <w:t>北港貨櫃裝卸量創新高，躍居北部貨櫃海運樞紐</w:t>
      </w:r>
    </w:p>
    <w:p w:rsidR="00BE6F81" w:rsidRPr="00A45822" w:rsidRDefault="00BE6F81" w:rsidP="00BE6F81">
      <w:pPr>
        <w:spacing w:beforeLines="20" w:before="72" w:afterLines="20" w:after="72" w:line="440" w:lineRule="exact"/>
        <w:ind w:leftChars="50" w:left="120" w:rightChars="50" w:right="120" w:firstLineChars="200" w:firstLine="640"/>
        <w:jc w:val="both"/>
        <w:rPr>
          <w:rFonts w:ascii="標楷體" w:eastAsia="標楷體" w:hAnsi="標楷體"/>
          <w:sz w:val="32"/>
        </w:rPr>
      </w:pPr>
      <w:r w:rsidRPr="00A45822">
        <w:rPr>
          <w:rFonts w:ascii="標楷體" w:eastAsia="標楷體" w:hAnsi="標楷體" w:hint="eastAsia"/>
          <w:sz w:val="32"/>
        </w:rPr>
        <w:t>受</w:t>
      </w:r>
      <w:r>
        <w:rPr>
          <w:rFonts w:ascii="標楷體" w:eastAsia="標楷體" w:hAnsi="標楷體" w:hint="eastAsia"/>
          <w:sz w:val="32"/>
        </w:rPr>
        <w:t>全球</w:t>
      </w:r>
      <w:r w:rsidRPr="00A45822">
        <w:rPr>
          <w:rFonts w:ascii="標楷體" w:eastAsia="標楷體" w:hAnsi="標楷體" w:hint="eastAsia"/>
          <w:sz w:val="32"/>
        </w:rPr>
        <w:t>景氣</w:t>
      </w:r>
      <w:r>
        <w:rPr>
          <w:rFonts w:ascii="標楷體" w:eastAsia="標楷體" w:hAnsi="標楷體" w:hint="eastAsia"/>
          <w:sz w:val="32"/>
        </w:rPr>
        <w:t>疲軟</w:t>
      </w:r>
      <w:r w:rsidRPr="00A45822">
        <w:rPr>
          <w:rFonts w:ascii="標楷體" w:eastAsia="標楷體" w:hAnsi="標楷體" w:hint="eastAsia"/>
          <w:sz w:val="32"/>
        </w:rPr>
        <w:t>影響，</w:t>
      </w:r>
      <w:r w:rsidRPr="00E279F9">
        <w:rPr>
          <w:rFonts w:ascii="標楷體" w:eastAsia="標楷體" w:hAnsi="標楷體" w:hint="eastAsia"/>
          <w:sz w:val="32"/>
        </w:rPr>
        <w:t>105年1-6月</w:t>
      </w:r>
      <w:r w:rsidRPr="00346B74">
        <w:rPr>
          <w:rFonts w:ascii="標楷體" w:eastAsia="標楷體" w:hAnsi="標楷體" w:hint="eastAsia"/>
          <w:sz w:val="32"/>
        </w:rPr>
        <w:t>國際</w:t>
      </w:r>
      <w:r w:rsidRPr="00A45822">
        <w:rPr>
          <w:rFonts w:ascii="標楷體" w:eastAsia="標楷體" w:hAnsi="標楷體" w:hint="eastAsia"/>
          <w:sz w:val="32"/>
        </w:rPr>
        <w:t>主要港口貨櫃裝卸量</w:t>
      </w:r>
      <w:r>
        <w:rPr>
          <w:rFonts w:ascii="標楷體" w:eastAsia="標楷體" w:hAnsi="標楷體" w:hint="eastAsia"/>
          <w:sz w:val="32"/>
        </w:rPr>
        <w:t>多</w:t>
      </w:r>
      <w:r w:rsidRPr="00A45822">
        <w:rPr>
          <w:rFonts w:ascii="標楷體" w:eastAsia="標楷體" w:hAnsi="標楷體" w:hint="eastAsia"/>
          <w:sz w:val="32"/>
        </w:rPr>
        <w:t>呈下降趨勢，</w:t>
      </w:r>
      <w:r>
        <w:rPr>
          <w:rFonts w:ascii="標楷體" w:eastAsia="標楷體" w:hAnsi="標楷體" w:hint="eastAsia"/>
          <w:sz w:val="32"/>
        </w:rPr>
        <w:t>如鄰近我國</w:t>
      </w:r>
      <w:r w:rsidRPr="0057506B">
        <w:rPr>
          <w:rFonts w:ascii="標楷體" w:eastAsia="標楷體" w:hAnsi="標楷體" w:hint="eastAsia"/>
          <w:sz w:val="32"/>
        </w:rPr>
        <w:t>之</w:t>
      </w:r>
      <w:r w:rsidRPr="00A45822">
        <w:rPr>
          <w:rFonts w:ascii="標楷體" w:eastAsia="標楷體" w:hAnsi="標楷體" w:hint="eastAsia"/>
          <w:sz w:val="32"/>
        </w:rPr>
        <w:t>上海</w:t>
      </w:r>
      <w:r>
        <w:rPr>
          <w:rFonts w:ascii="標楷體" w:eastAsia="標楷體" w:hAnsi="標楷體" w:hint="eastAsia"/>
          <w:sz w:val="32"/>
        </w:rPr>
        <w:t>(</w:t>
      </w:r>
      <w:r w:rsidRPr="00A45822">
        <w:rPr>
          <w:rFonts w:ascii="標楷體" w:eastAsia="標楷體" w:hAnsi="標楷體" w:hint="eastAsia"/>
          <w:sz w:val="32"/>
        </w:rPr>
        <w:t>1,785萬TEU</w:t>
      </w:r>
      <w:r>
        <w:rPr>
          <w:rFonts w:ascii="標楷體" w:eastAsia="標楷體" w:hAnsi="標楷體" w:hint="eastAsia"/>
          <w:sz w:val="32"/>
        </w:rPr>
        <w:t>)</w:t>
      </w:r>
      <w:r w:rsidRPr="00A45822">
        <w:rPr>
          <w:rFonts w:ascii="標楷體" w:eastAsia="標楷體" w:hAnsi="標楷體" w:hint="eastAsia"/>
          <w:sz w:val="32"/>
        </w:rPr>
        <w:t>較上年同期減少0.1%，新加坡</w:t>
      </w:r>
      <w:r>
        <w:rPr>
          <w:rFonts w:ascii="標楷體" w:eastAsia="標楷體" w:hAnsi="標楷體" w:hint="eastAsia"/>
          <w:sz w:val="32"/>
        </w:rPr>
        <w:t>(</w:t>
      </w:r>
      <w:r w:rsidRPr="00A45822">
        <w:rPr>
          <w:rFonts w:ascii="標楷體" w:eastAsia="標楷體" w:hAnsi="標楷體" w:hint="eastAsia"/>
          <w:sz w:val="32"/>
        </w:rPr>
        <w:t>1,518萬TEU</w:t>
      </w:r>
      <w:r>
        <w:rPr>
          <w:rFonts w:ascii="標楷體" w:eastAsia="標楷體" w:hAnsi="標楷體" w:hint="eastAsia"/>
          <w:sz w:val="32"/>
        </w:rPr>
        <w:t>)減</w:t>
      </w:r>
      <w:r w:rsidRPr="00A45822">
        <w:rPr>
          <w:rFonts w:ascii="標楷體" w:eastAsia="標楷體" w:hAnsi="標楷體" w:hint="eastAsia"/>
          <w:sz w:val="32"/>
        </w:rPr>
        <w:t>5.1%，香港</w:t>
      </w:r>
      <w:r>
        <w:rPr>
          <w:rFonts w:ascii="標楷體" w:eastAsia="標楷體" w:hAnsi="標楷體" w:hint="eastAsia"/>
          <w:sz w:val="32"/>
        </w:rPr>
        <w:t>(</w:t>
      </w:r>
      <w:r w:rsidRPr="00A45822">
        <w:rPr>
          <w:rFonts w:ascii="標楷體" w:eastAsia="標楷體" w:hAnsi="標楷體" w:hint="eastAsia"/>
          <w:sz w:val="32"/>
        </w:rPr>
        <w:t>916萬TEU</w:t>
      </w:r>
      <w:r>
        <w:rPr>
          <w:rFonts w:ascii="標楷體" w:eastAsia="標楷體" w:hAnsi="標楷體" w:hint="eastAsia"/>
          <w:sz w:val="32"/>
        </w:rPr>
        <w:t>)減</w:t>
      </w:r>
      <w:r w:rsidRPr="00A45822">
        <w:rPr>
          <w:rFonts w:ascii="標楷體" w:eastAsia="標楷體" w:hAnsi="標楷體" w:hint="eastAsia"/>
          <w:sz w:val="32"/>
        </w:rPr>
        <w:t>10.5%，我國高雄港</w:t>
      </w:r>
      <w:r>
        <w:rPr>
          <w:rFonts w:ascii="標楷體" w:eastAsia="標楷體" w:hAnsi="標楷體" w:hint="eastAsia"/>
          <w:sz w:val="32"/>
        </w:rPr>
        <w:t>(</w:t>
      </w:r>
      <w:r w:rsidRPr="00A45822">
        <w:rPr>
          <w:rFonts w:ascii="標楷體" w:eastAsia="標楷體" w:hAnsi="標楷體" w:hint="eastAsia"/>
          <w:sz w:val="32"/>
        </w:rPr>
        <w:t>510萬TEU</w:t>
      </w:r>
      <w:r>
        <w:rPr>
          <w:rFonts w:ascii="標楷體" w:eastAsia="標楷體" w:hAnsi="標楷體" w:hint="eastAsia"/>
          <w:sz w:val="32"/>
        </w:rPr>
        <w:t>)</w:t>
      </w:r>
      <w:r w:rsidRPr="00A45822">
        <w:rPr>
          <w:rFonts w:ascii="標楷體" w:eastAsia="標楷體" w:hAnsi="標楷體" w:hint="eastAsia"/>
          <w:sz w:val="32"/>
        </w:rPr>
        <w:t>減0.5%</w:t>
      </w:r>
      <w:proofErr w:type="gramStart"/>
      <w:r w:rsidRPr="00A45822">
        <w:rPr>
          <w:rFonts w:eastAsia="標楷體"/>
          <w:spacing w:val="2"/>
          <w:kern w:val="0"/>
          <w:position w:val="12"/>
          <w:sz w:val="20"/>
          <w:szCs w:val="20"/>
        </w:rPr>
        <w:t>註</w:t>
      </w:r>
      <w:proofErr w:type="gramEnd"/>
      <w:r w:rsidRPr="00A45822">
        <w:rPr>
          <w:rFonts w:ascii="標楷體" w:eastAsia="標楷體" w:hAnsi="標楷體" w:hint="eastAsia"/>
          <w:sz w:val="32"/>
        </w:rPr>
        <w:t>，表現相對持穩。</w:t>
      </w:r>
    </w:p>
    <w:p w:rsidR="00BE6F81" w:rsidRPr="00A45822" w:rsidRDefault="00BE6F81" w:rsidP="00BE6F81">
      <w:pPr>
        <w:spacing w:beforeLines="20" w:before="72" w:afterLines="20" w:after="72" w:line="440" w:lineRule="exact"/>
        <w:ind w:leftChars="50" w:left="120" w:rightChars="50" w:right="120" w:firstLineChars="200" w:firstLine="6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另</w:t>
      </w:r>
      <w:r w:rsidRPr="00A45822">
        <w:rPr>
          <w:rFonts w:ascii="標楷體" w:eastAsia="標楷體" w:hAnsi="標楷體" w:hint="eastAsia"/>
          <w:sz w:val="32"/>
        </w:rPr>
        <w:t>觀察</w:t>
      </w:r>
      <w:r>
        <w:rPr>
          <w:rFonts w:ascii="標楷體" w:eastAsia="標楷體" w:hAnsi="標楷體" w:hint="eastAsia"/>
          <w:sz w:val="32"/>
        </w:rPr>
        <w:t>上半年</w:t>
      </w:r>
      <w:r w:rsidRPr="00A45822">
        <w:rPr>
          <w:rFonts w:ascii="標楷體" w:eastAsia="標楷體" w:hAnsi="標楷體" w:hint="eastAsia"/>
          <w:sz w:val="32"/>
        </w:rPr>
        <w:t>我國其他各港貨櫃裝卸量，依序為</w:t>
      </w:r>
      <w:proofErr w:type="gramStart"/>
      <w:r w:rsidRPr="00A45822">
        <w:rPr>
          <w:rFonts w:ascii="標楷體" w:eastAsia="標楷體" w:hAnsi="標楷體" w:hint="eastAsia"/>
          <w:sz w:val="32"/>
        </w:rPr>
        <w:t>臺</w:t>
      </w:r>
      <w:proofErr w:type="gramEnd"/>
      <w:r w:rsidRPr="00A45822">
        <w:rPr>
          <w:rFonts w:ascii="標楷體" w:eastAsia="標楷體" w:hAnsi="標楷體" w:hint="eastAsia"/>
          <w:sz w:val="32"/>
        </w:rPr>
        <w:t>中港73萬TEU及</w:t>
      </w:r>
      <w:proofErr w:type="gramStart"/>
      <w:r w:rsidRPr="00A45822">
        <w:rPr>
          <w:rFonts w:ascii="標楷體" w:eastAsia="標楷體" w:hAnsi="標楷體" w:hint="eastAsia"/>
          <w:sz w:val="32"/>
        </w:rPr>
        <w:t>臺</w:t>
      </w:r>
      <w:proofErr w:type="gramEnd"/>
      <w:r w:rsidRPr="00A45822">
        <w:rPr>
          <w:rFonts w:ascii="標楷體" w:eastAsia="標楷體" w:hAnsi="標楷體" w:hint="eastAsia"/>
          <w:sz w:val="32"/>
        </w:rPr>
        <w:t>北港71萬TEU，</w:t>
      </w:r>
      <w:r>
        <w:rPr>
          <w:rFonts w:ascii="標楷體" w:eastAsia="標楷體" w:hAnsi="標楷體" w:hint="eastAsia"/>
          <w:sz w:val="32"/>
        </w:rPr>
        <w:t>均</w:t>
      </w:r>
      <w:r w:rsidRPr="00A45822">
        <w:rPr>
          <w:rFonts w:ascii="標楷體" w:eastAsia="標楷體" w:hAnsi="標楷體" w:hint="eastAsia"/>
          <w:sz w:val="32"/>
        </w:rPr>
        <w:t>超越基隆港</w:t>
      </w:r>
      <w:r>
        <w:rPr>
          <w:rFonts w:ascii="標楷體" w:eastAsia="標楷體" w:hAnsi="標楷體" w:hint="eastAsia"/>
          <w:sz w:val="32"/>
        </w:rPr>
        <w:t>之</w:t>
      </w:r>
      <w:r w:rsidRPr="00A45822">
        <w:rPr>
          <w:rFonts w:ascii="標楷體" w:eastAsia="標楷體" w:hAnsi="標楷體" w:hint="eastAsia"/>
          <w:sz w:val="32"/>
        </w:rPr>
        <w:t>68萬TEU</w:t>
      </w:r>
      <w:r>
        <w:rPr>
          <w:rFonts w:ascii="標楷體" w:eastAsia="標楷體" w:hAnsi="標楷體" w:hint="eastAsia"/>
          <w:sz w:val="32"/>
        </w:rPr>
        <w:t>，其中</w:t>
      </w:r>
      <w:proofErr w:type="gramStart"/>
      <w:r w:rsidRPr="00A45822">
        <w:rPr>
          <w:rFonts w:ascii="標楷體" w:eastAsia="標楷體" w:hAnsi="標楷體" w:hint="eastAsia"/>
          <w:sz w:val="32"/>
        </w:rPr>
        <w:t>臺</w:t>
      </w:r>
      <w:proofErr w:type="gramEnd"/>
      <w:r w:rsidRPr="00A45822">
        <w:rPr>
          <w:rFonts w:ascii="標楷體" w:eastAsia="標楷體" w:hAnsi="標楷體" w:hint="eastAsia"/>
          <w:sz w:val="32"/>
        </w:rPr>
        <w:t>北港</w:t>
      </w:r>
      <w:r>
        <w:rPr>
          <w:rFonts w:ascii="標楷體" w:eastAsia="標楷體" w:hAnsi="標楷體" w:hint="eastAsia"/>
          <w:sz w:val="32"/>
        </w:rPr>
        <w:t>更</w:t>
      </w:r>
      <w:r w:rsidRPr="00A45822">
        <w:rPr>
          <w:rFonts w:ascii="標楷體" w:eastAsia="標楷體" w:hAnsi="標楷體" w:hint="eastAsia"/>
          <w:sz w:val="32"/>
        </w:rPr>
        <w:t>刷新歷年同期紀錄</w:t>
      </w:r>
      <w:r>
        <w:rPr>
          <w:rFonts w:ascii="標楷體" w:eastAsia="標楷體" w:hAnsi="標楷體" w:hint="eastAsia"/>
          <w:sz w:val="32"/>
        </w:rPr>
        <w:t>，已為</w:t>
      </w:r>
      <w:r w:rsidRPr="00C65660">
        <w:rPr>
          <w:rFonts w:ascii="標楷體" w:eastAsia="標楷體" w:hAnsi="標楷體" w:hint="eastAsia"/>
          <w:sz w:val="32"/>
        </w:rPr>
        <w:t>北部</w:t>
      </w:r>
      <w:r w:rsidRPr="00A45822">
        <w:rPr>
          <w:rFonts w:ascii="標楷體" w:eastAsia="標楷體" w:hAnsi="標楷體" w:hint="eastAsia"/>
          <w:sz w:val="32"/>
        </w:rPr>
        <w:t>貨櫃海運樞紐港，表現亮眼。</w:t>
      </w:r>
    </w:p>
    <w:p w:rsidR="00BE6F81" w:rsidRPr="00A45822" w:rsidRDefault="00BE6F81" w:rsidP="00BE6F81">
      <w:pPr>
        <w:spacing w:beforeLines="20" w:before="72" w:afterLines="20" w:after="72" w:line="440" w:lineRule="exact"/>
        <w:ind w:leftChars="50" w:left="120" w:rightChars="50" w:right="120" w:firstLineChars="200" w:firstLine="640"/>
        <w:jc w:val="both"/>
        <w:rPr>
          <w:rFonts w:ascii="標楷體" w:eastAsia="標楷體" w:hAnsi="標楷體"/>
          <w:kern w:val="0"/>
          <w:sz w:val="32"/>
        </w:rPr>
      </w:pPr>
      <w:r w:rsidRPr="00A45822">
        <w:rPr>
          <w:rFonts w:ascii="標楷體" w:eastAsia="標楷體" w:hAnsi="標楷體" w:hint="eastAsia"/>
          <w:sz w:val="32"/>
        </w:rPr>
        <w:t>進出港旅客方面，</w:t>
      </w:r>
      <w:proofErr w:type="gramStart"/>
      <w:r w:rsidRPr="00A45822">
        <w:rPr>
          <w:rFonts w:ascii="標楷體" w:eastAsia="標楷體" w:hAnsi="標楷體" w:hint="eastAsia"/>
          <w:sz w:val="32"/>
        </w:rPr>
        <w:t>受陸客</w:t>
      </w:r>
      <w:proofErr w:type="gramEnd"/>
      <w:r w:rsidRPr="00A45822">
        <w:rPr>
          <w:rFonts w:ascii="標楷體" w:eastAsia="標楷體" w:hAnsi="標楷體" w:hint="eastAsia"/>
          <w:sz w:val="32"/>
        </w:rPr>
        <w:t>來</w:t>
      </w:r>
      <w:proofErr w:type="gramStart"/>
      <w:r w:rsidRPr="00A45822">
        <w:rPr>
          <w:rFonts w:ascii="標楷體" w:eastAsia="標楷體" w:hAnsi="標楷體" w:hint="eastAsia"/>
          <w:sz w:val="32"/>
        </w:rPr>
        <w:t>臺</w:t>
      </w:r>
      <w:proofErr w:type="gramEnd"/>
      <w:r w:rsidRPr="00A45822">
        <w:rPr>
          <w:rFonts w:ascii="標楷體" w:eastAsia="標楷體" w:hAnsi="標楷體" w:hint="eastAsia"/>
          <w:sz w:val="32"/>
        </w:rPr>
        <w:t>人數減少影響，105年1-6月我國</w:t>
      </w:r>
      <w:r>
        <w:rPr>
          <w:rFonts w:ascii="標楷體" w:eastAsia="標楷體" w:hAnsi="標楷體" w:hint="eastAsia"/>
          <w:sz w:val="32"/>
        </w:rPr>
        <w:t>各</w:t>
      </w:r>
      <w:r w:rsidRPr="00A45822">
        <w:rPr>
          <w:rFonts w:ascii="標楷體" w:eastAsia="標楷體" w:hAnsi="標楷體" w:hint="eastAsia"/>
          <w:sz w:val="32"/>
        </w:rPr>
        <w:t>國際商港進出港旅客</w:t>
      </w:r>
      <w:r>
        <w:rPr>
          <w:rFonts w:ascii="標楷體" w:eastAsia="標楷體" w:hAnsi="標楷體" w:hint="eastAsia"/>
          <w:sz w:val="32"/>
        </w:rPr>
        <w:t>總計</w:t>
      </w:r>
      <w:r w:rsidRPr="00A45822">
        <w:rPr>
          <w:rFonts w:ascii="標楷體" w:eastAsia="標楷體" w:hAnsi="標楷體" w:hint="eastAsia"/>
          <w:sz w:val="32"/>
        </w:rPr>
        <w:t>63.5萬人次，較上年同期減少12.9%。</w:t>
      </w:r>
      <w:proofErr w:type="gramStart"/>
      <w:r w:rsidRPr="00A45822">
        <w:rPr>
          <w:rFonts w:ascii="標楷體" w:eastAsia="標楷體" w:hAnsi="標楷體" w:hint="eastAsia"/>
          <w:sz w:val="32"/>
        </w:rPr>
        <w:t>惟</w:t>
      </w:r>
      <w:proofErr w:type="gramEnd"/>
      <w:r w:rsidRPr="00A45822">
        <w:rPr>
          <w:rFonts w:ascii="標楷體" w:eastAsia="標楷體" w:hAnsi="標楷體" w:hint="eastAsia"/>
          <w:sz w:val="32"/>
        </w:rPr>
        <w:t>基隆港逆勢成長，</w:t>
      </w:r>
      <w:r>
        <w:rPr>
          <w:rFonts w:ascii="標楷體" w:eastAsia="標楷體" w:hAnsi="標楷體" w:hint="eastAsia"/>
          <w:sz w:val="32"/>
        </w:rPr>
        <w:t>旅客量</w:t>
      </w:r>
      <w:r w:rsidRPr="00A45822">
        <w:rPr>
          <w:rFonts w:ascii="標楷體" w:eastAsia="標楷體" w:hAnsi="標楷體" w:hint="eastAsia"/>
          <w:sz w:val="32"/>
        </w:rPr>
        <w:t>達40.4萬人次 (+10.7%)，再創歷史新高，</w:t>
      </w:r>
      <w:r>
        <w:rPr>
          <w:rFonts w:ascii="標楷體" w:eastAsia="標楷體" w:hAnsi="標楷體" w:hint="eastAsia"/>
          <w:sz w:val="32"/>
        </w:rPr>
        <w:t>主因國際郵輪旅客數呈現二位數成長佳績(+14.3%)所致。</w:t>
      </w:r>
      <w:r w:rsidRPr="00456F1E">
        <w:rPr>
          <w:rFonts w:ascii="標楷體" w:eastAsia="標楷體" w:hAnsi="標楷體" w:hint="eastAsia"/>
          <w:sz w:val="32"/>
        </w:rPr>
        <w:t>基隆港</w:t>
      </w:r>
      <w:r>
        <w:rPr>
          <w:rFonts w:ascii="標楷體" w:eastAsia="標楷體" w:hAnsi="標楷體" w:hint="eastAsia"/>
          <w:sz w:val="32"/>
        </w:rPr>
        <w:t>去(</w:t>
      </w:r>
      <w:r w:rsidRPr="00A45822">
        <w:rPr>
          <w:rFonts w:ascii="標楷體" w:eastAsia="標楷體" w:hAnsi="標楷體" w:hint="eastAsia"/>
          <w:sz w:val="32"/>
        </w:rPr>
        <w:t>104</w:t>
      </w:r>
      <w:r>
        <w:rPr>
          <w:rFonts w:ascii="標楷體" w:eastAsia="標楷體" w:hAnsi="標楷體" w:hint="eastAsia"/>
          <w:sz w:val="32"/>
        </w:rPr>
        <w:t>)</w:t>
      </w:r>
      <w:r w:rsidRPr="00A45822">
        <w:rPr>
          <w:rFonts w:ascii="標楷體" w:eastAsia="標楷體" w:hAnsi="標楷體" w:hint="eastAsia"/>
          <w:sz w:val="32"/>
        </w:rPr>
        <w:t>年</w:t>
      </w:r>
      <w:r>
        <w:rPr>
          <w:rFonts w:ascii="標楷體" w:eastAsia="標楷體" w:hAnsi="標楷體" w:hint="eastAsia"/>
          <w:sz w:val="32"/>
        </w:rPr>
        <w:t>榮</w:t>
      </w:r>
      <w:r w:rsidRPr="00A45822">
        <w:rPr>
          <w:rFonts w:ascii="標楷體" w:eastAsia="標楷體" w:hAnsi="標楷體" w:hint="eastAsia"/>
          <w:sz w:val="32"/>
        </w:rPr>
        <w:t>獲英國郵輪產業雜誌</w:t>
      </w:r>
      <w:r w:rsidRPr="00514868">
        <w:rPr>
          <w:rFonts w:eastAsia="標楷體"/>
          <w:sz w:val="32"/>
        </w:rPr>
        <w:t>Cruise Insight</w:t>
      </w:r>
      <w:r>
        <w:rPr>
          <w:rFonts w:eastAsia="標楷體" w:hint="eastAsia"/>
          <w:sz w:val="32"/>
        </w:rPr>
        <w:t>肯定，</w:t>
      </w:r>
      <w:r w:rsidRPr="00A45822">
        <w:rPr>
          <w:rFonts w:ascii="標楷體" w:eastAsia="標楷體" w:hAnsi="標楷體" w:hint="eastAsia"/>
          <w:sz w:val="32"/>
        </w:rPr>
        <w:t>列為郵輪旅遊推薦目的地，</w:t>
      </w:r>
      <w:r>
        <w:rPr>
          <w:rFonts w:ascii="標楷體" w:eastAsia="標楷體" w:hAnsi="標楷體" w:hint="eastAsia"/>
          <w:sz w:val="32"/>
        </w:rPr>
        <w:t>提升</w:t>
      </w:r>
      <w:r w:rsidRPr="00A45822">
        <w:rPr>
          <w:rFonts w:ascii="標楷體" w:eastAsia="標楷體" w:hAnsi="標楷體" w:hint="eastAsia"/>
          <w:sz w:val="32"/>
        </w:rPr>
        <w:t>國際</w:t>
      </w:r>
      <w:r>
        <w:rPr>
          <w:rFonts w:ascii="標楷體" w:eastAsia="標楷體" w:hAnsi="標楷體" w:hint="eastAsia"/>
          <w:sz w:val="32"/>
        </w:rPr>
        <w:t>能見度</w:t>
      </w:r>
      <w:r w:rsidRPr="00A45822">
        <w:rPr>
          <w:rFonts w:ascii="標楷體" w:eastAsia="標楷體" w:hAnsi="標楷體" w:hint="eastAsia"/>
          <w:sz w:val="32"/>
        </w:rPr>
        <w:t>，</w:t>
      </w:r>
      <w:r>
        <w:rPr>
          <w:rFonts w:ascii="標楷體" w:eastAsia="標楷體" w:hAnsi="標楷體" w:hint="eastAsia"/>
          <w:sz w:val="32"/>
        </w:rPr>
        <w:t>並</w:t>
      </w:r>
      <w:r w:rsidRPr="00A45822">
        <w:rPr>
          <w:rFonts w:ascii="標楷體" w:eastAsia="標楷體" w:hAnsi="標楷體" w:hint="eastAsia"/>
          <w:sz w:val="32"/>
        </w:rPr>
        <w:t>成功轉型母港模式，</w:t>
      </w:r>
      <w:r>
        <w:rPr>
          <w:rFonts w:ascii="標楷體" w:eastAsia="標楷體" w:hAnsi="標楷體" w:hint="eastAsia"/>
          <w:sz w:val="32"/>
        </w:rPr>
        <w:t>均</w:t>
      </w:r>
      <w:r w:rsidRPr="00A45822">
        <w:rPr>
          <w:rFonts w:ascii="標楷體" w:eastAsia="標楷體" w:hAnsi="標楷體" w:hint="eastAsia"/>
          <w:sz w:val="32"/>
        </w:rPr>
        <w:t>吸引大型國際郵輪掛靠</w:t>
      </w:r>
      <w:r>
        <w:rPr>
          <w:rFonts w:ascii="標楷體" w:eastAsia="標楷體" w:hAnsi="標楷體" w:hint="eastAsia"/>
          <w:sz w:val="32"/>
        </w:rPr>
        <w:t>，締造良好績效</w:t>
      </w:r>
      <w:r w:rsidRPr="00A45822">
        <w:rPr>
          <w:rFonts w:ascii="標楷體" w:eastAsia="標楷體" w:hAnsi="標楷體" w:hint="eastAsia"/>
          <w:sz w:val="32"/>
        </w:rPr>
        <w:t>。</w:t>
      </w:r>
    </w:p>
    <w:p w:rsidR="00BE6F81" w:rsidRPr="00756CC4" w:rsidRDefault="00BE6F81" w:rsidP="00BE6F81">
      <w:pPr>
        <w:snapToGrid w:val="0"/>
        <w:spacing w:line="0" w:lineRule="atLeast"/>
        <w:ind w:leftChars="58" w:left="613" w:rightChars="10" w:right="24" w:hangingChars="206" w:hanging="474"/>
        <w:rPr>
          <w:rFonts w:ascii="標楷體" w:eastAsia="標楷體" w:hAnsi="標楷體"/>
          <w:kern w:val="0"/>
          <w:sz w:val="32"/>
        </w:rPr>
      </w:pPr>
      <w:proofErr w:type="gramStart"/>
      <w:r w:rsidRPr="00F95B9C">
        <w:rPr>
          <w:rFonts w:ascii="標楷體" w:eastAsia="標楷體" w:hAnsi="標楷體" w:hint="eastAsia"/>
          <w:sz w:val="23"/>
          <w:szCs w:val="23"/>
        </w:rPr>
        <w:t>註</w:t>
      </w:r>
      <w:proofErr w:type="gramEnd"/>
      <w:r w:rsidRPr="00F95B9C">
        <w:rPr>
          <w:rFonts w:ascii="標楷體" w:eastAsia="標楷體" w:hAnsi="標楷體" w:hint="eastAsia"/>
          <w:sz w:val="23"/>
          <w:szCs w:val="23"/>
        </w:rPr>
        <w:t>：</w:t>
      </w:r>
      <w:r w:rsidRPr="00484A5D">
        <w:rPr>
          <w:rFonts w:ascii="標楷體" w:eastAsia="標楷體" w:hAnsi="標楷體" w:hint="eastAsia"/>
          <w:sz w:val="23"/>
          <w:szCs w:val="23"/>
        </w:rPr>
        <w:t>為與國際接軌，我國貨櫃裝卸量自105年起包含國內航線貨櫃，惟</w:t>
      </w:r>
      <w:r>
        <w:rPr>
          <w:rFonts w:ascii="標楷體" w:eastAsia="標楷體" w:hAnsi="標楷體" w:hint="eastAsia"/>
          <w:sz w:val="23"/>
          <w:szCs w:val="23"/>
        </w:rPr>
        <w:t>該項資料</w:t>
      </w:r>
      <w:r w:rsidRPr="00484A5D">
        <w:rPr>
          <w:rFonts w:ascii="標楷體" w:eastAsia="標楷體" w:hAnsi="標楷體" w:hint="eastAsia"/>
          <w:sz w:val="23"/>
          <w:szCs w:val="23"/>
        </w:rPr>
        <w:t>無法追溯</w:t>
      </w:r>
      <w:r>
        <w:rPr>
          <w:rFonts w:ascii="標楷體" w:eastAsia="標楷體" w:hAnsi="標楷體" w:hint="eastAsia"/>
          <w:sz w:val="23"/>
          <w:szCs w:val="23"/>
        </w:rPr>
        <w:t>修正</w:t>
      </w:r>
      <w:r w:rsidRPr="00484A5D">
        <w:rPr>
          <w:rFonts w:ascii="標楷體" w:eastAsia="標楷體" w:hAnsi="標楷體" w:hint="eastAsia"/>
          <w:sz w:val="23"/>
          <w:szCs w:val="23"/>
        </w:rPr>
        <w:t>，為與上年同期比較基準一致，增減率不含國內航線貨櫃量。</w:t>
      </w:r>
    </w:p>
    <w:p w:rsidR="00BE6F81" w:rsidRPr="00FE1A07" w:rsidRDefault="00BE6F81" w:rsidP="00BE6F81">
      <w:pPr>
        <w:snapToGrid w:val="0"/>
        <w:spacing w:beforeLines="20" w:before="72" w:line="480" w:lineRule="exact"/>
        <w:ind w:left="38" w:rightChars="58" w:right="139" w:hangingChars="12" w:hanging="38"/>
        <w:jc w:val="center"/>
        <w:rPr>
          <w:rFonts w:ascii="標楷體" w:eastAsia="標楷體" w:hAnsi="標楷體"/>
          <w:sz w:val="32"/>
          <w:szCs w:val="32"/>
        </w:rPr>
      </w:pPr>
      <w:r w:rsidRPr="00FE1A07">
        <w:rPr>
          <w:rFonts w:ascii="標楷體" w:eastAsia="標楷體" w:hAnsi="標楷體" w:hint="eastAsia"/>
          <w:sz w:val="32"/>
          <w:szCs w:val="32"/>
        </w:rPr>
        <w:t>近6年1-6月我國國際商港國際航線貨櫃裝卸量</w:t>
      </w:r>
    </w:p>
    <w:p w:rsidR="00BE6F81" w:rsidRDefault="00BE6F81" w:rsidP="00BE6F81">
      <w:pPr>
        <w:widowControl/>
        <w:rPr>
          <w:rFonts w:ascii="標楷體" w:hAnsi="標楷體"/>
          <w:sz w:val="28"/>
        </w:rPr>
      </w:pPr>
      <w:r>
        <w:rPr>
          <w:rFonts w:hint="eastAsia"/>
          <w:noProof/>
        </w:rPr>
        <w:drawing>
          <wp:anchor distT="0" distB="0" distL="114300" distR="114300" simplePos="0" relativeHeight="251814912" behindDoc="1" locked="0" layoutInCell="1" allowOverlap="1" wp14:anchorId="29602E35" wp14:editId="69D979E6">
            <wp:simplePos x="0" y="0"/>
            <wp:positionH relativeFrom="column">
              <wp:posOffset>272415</wp:posOffset>
            </wp:positionH>
            <wp:positionV relativeFrom="paragraph">
              <wp:posOffset>15240</wp:posOffset>
            </wp:positionV>
            <wp:extent cx="4733925" cy="2581275"/>
            <wp:effectExtent l="19050" t="19050" r="28575" b="2857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581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572653CE" wp14:editId="7469EB36">
                <wp:simplePos x="0" y="0"/>
                <wp:positionH relativeFrom="column">
                  <wp:posOffset>1323340</wp:posOffset>
                </wp:positionH>
                <wp:positionV relativeFrom="paragraph">
                  <wp:posOffset>6943725</wp:posOffset>
                </wp:positionV>
                <wp:extent cx="4945380" cy="2814955"/>
                <wp:effectExtent l="8890" t="10160" r="8255" b="1333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5380" cy="28149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50000">
                              <a:srgbClr val="FFFFFF">
                                <a:gamma/>
                                <a:tint val="24706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26" style="position:absolute;margin-left:104.2pt;margin-top:546.75pt;width:389.4pt;height:221.65pt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" strokeweight=".5pt">
                <v:fill angle="45" focus="50%" type="gradient"/>
              </v:rect>
            </w:pict>
          </mc:Fallback>
        </mc:AlternateContent>
      </w:r>
    </w:p>
    <w:p w:rsidR="00BE6F81" w:rsidRDefault="00BE6F81" w:rsidP="00BE6F81">
      <w:pPr>
        <w:widowControl/>
        <w:spacing w:line="240" w:lineRule="exact"/>
        <w:rPr>
          <w:rFonts w:ascii="標楷體" w:hAnsi="標楷體"/>
          <w:sz w:val="28"/>
        </w:rPr>
      </w:pPr>
    </w:p>
    <w:p w:rsidR="00BE6F81" w:rsidRDefault="00BE6F81" w:rsidP="00BE6F81">
      <w:pPr>
        <w:widowControl/>
        <w:spacing w:line="240" w:lineRule="exact"/>
        <w:rPr>
          <w:rFonts w:ascii="標楷體" w:hAnsi="標楷體"/>
          <w:sz w:val="28"/>
        </w:rPr>
      </w:pPr>
    </w:p>
    <w:p w:rsidR="00BE6F81" w:rsidRDefault="00BE6F81" w:rsidP="00BE6F81">
      <w:pPr>
        <w:widowControl/>
        <w:spacing w:line="240" w:lineRule="exact"/>
        <w:rPr>
          <w:rFonts w:ascii="標楷體" w:hAnsi="標楷體"/>
          <w:sz w:val="28"/>
        </w:rPr>
      </w:pPr>
    </w:p>
    <w:p w:rsidR="00BE6F81" w:rsidRDefault="00BE6F81" w:rsidP="00BE6F81">
      <w:pPr>
        <w:widowControl/>
        <w:spacing w:line="240" w:lineRule="exact"/>
        <w:rPr>
          <w:rFonts w:ascii="標楷體" w:hAnsi="標楷體"/>
          <w:sz w:val="28"/>
        </w:rPr>
      </w:pPr>
    </w:p>
    <w:p w:rsidR="00BE6F81" w:rsidRDefault="00BE6F81" w:rsidP="00BE6F81">
      <w:pPr>
        <w:widowControl/>
        <w:spacing w:line="240" w:lineRule="exact"/>
        <w:rPr>
          <w:rFonts w:ascii="標楷體" w:hAnsi="標楷體"/>
          <w:sz w:val="28"/>
        </w:rPr>
      </w:pPr>
    </w:p>
    <w:p w:rsidR="00BE6F81" w:rsidRDefault="00BE6F81" w:rsidP="00BE6F81">
      <w:pPr>
        <w:widowControl/>
        <w:spacing w:line="240" w:lineRule="exact"/>
        <w:rPr>
          <w:rFonts w:ascii="標楷體" w:hAnsi="標楷體"/>
          <w:sz w:val="28"/>
        </w:rPr>
      </w:pPr>
    </w:p>
    <w:p w:rsidR="00BE6F81" w:rsidRDefault="00BE6F81" w:rsidP="00BE6F81">
      <w:pPr>
        <w:widowControl/>
        <w:spacing w:line="240" w:lineRule="exact"/>
        <w:rPr>
          <w:rFonts w:ascii="標楷體" w:hAnsi="標楷體"/>
          <w:sz w:val="28"/>
        </w:rPr>
      </w:pPr>
    </w:p>
    <w:p w:rsidR="00BE6F81" w:rsidRDefault="00BE6F81" w:rsidP="00BE6F81">
      <w:pPr>
        <w:widowControl/>
        <w:spacing w:line="240" w:lineRule="exact"/>
        <w:rPr>
          <w:rFonts w:ascii="標楷體" w:hAnsi="標楷體"/>
          <w:sz w:val="28"/>
        </w:rPr>
      </w:pPr>
    </w:p>
    <w:p w:rsidR="00BE6F81" w:rsidRDefault="00BE6F81" w:rsidP="00BE6F81">
      <w:pPr>
        <w:widowControl/>
        <w:spacing w:line="240" w:lineRule="exact"/>
        <w:rPr>
          <w:rFonts w:ascii="標楷體" w:hAnsi="標楷體"/>
          <w:sz w:val="28"/>
        </w:rPr>
      </w:pPr>
    </w:p>
    <w:p w:rsidR="00BE6F81" w:rsidRDefault="00BE6F81" w:rsidP="00BE6F81">
      <w:pPr>
        <w:widowControl/>
        <w:spacing w:line="240" w:lineRule="exact"/>
        <w:rPr>
          <w:rFonts w:ascii="標楷體" w:hAnsi="標楷體"/>
          <w:sz w:val="28"/>
        </w:rPr>
      </w:pPr>
    </w:p>
    <w:p w:rsidR="00BE6F81" w:rsidRDefault="00BE6F81" w:rsidP="00BE6F81">
      <w:pPr>
        <w:widowControl/>
        <w:spacing w:line="240" w:lineRule="exact"/>
        <w:rPr>
          <w:rFonts w:ascii="標楷體" w:hAnsi="標楷體"/>
          <w:sz w:val="28"/>
        </w:rPr>
      </w:pPr>
    </w:p>
    <w:p w:rsidR="00BE6F81" w:rsidRDefault="00BE6F81" w:rsidP="00BE6F81">
      <w:pPr>
        <w:widowControl/>
        <w:spacing w:line="240" w:lineRule="exact"/>
        <w:rPr>
          <w:rFonts w:ascii="標楷體" w:hAnsi="標楷體"/>
          <w:sz w:val="28"/>
        </w:rPr>
      </w:pPr>
    </w:p>
    <w:p w:rsidR="00BE6F81" w:rsidRDefault="00BE6F81" w:rsidP="00BE6F81">
      <w:pPr>
        <w:widowControl/>
        <w:spacing w:line="240" w:lineRule="exact"/>
        <w:rPr>
          <w:rFonts w:ascii="標楷體" w:hAnsi="標楷體"/>
          <w:sz w:val="28"/>
        </w:rPr>
      </w:pPr>
    </w:p>
    <w:p w:rsidR="00BE6F81" w:rsidRDefault="00BE6F81" w:rsidP="00BE6F81">
      <w:pPr>
        <w:widowControl/>
        <w:spacing w:line="240" w:lineRule="exact"/>
        <w:rPr>
          <w:rFonts w:ascii="標楷體" w:hAnsi="標楷體"/>
          <w:sz w:val="28"/>
        </w:rPr>
      </w:pPr>
    </w:p>
    <w:p w:rsidR="00BE6F81" w:rsidRPr="004E1A11" w:rsidRDefault="00BE6F81" w:rsidP="00BE6F81">
      <w:pPr>
        <w:widowControl/>
        <w:spacing w:line="240" w:lineRule="exact"/>
        <w:ind w:firstLineChars="250" w:firstLine="500"/>
        <w:rPr>
          <w:rFonts w:eastAsia="標楷體"/>
          <w:bCs/>
          <w:noProof/>
          <w:sz w:val="20"/>
        </w:rPr>
      </w:pPr>
      <w:r w:rsidRPr="00A45822">
        <w:rPr>
          <w:rFonts w:eastAsia="標楷體" w:hint="eastAsia"/>
          <w:bCs/>
          <w:noProof/>
          <w:sz w:val="20"/>
        </w:rPr>
        <w:t>說明：總計包含安平港。</w:t>
      </w:r>
      <w:r>
        <w:rPr>
          <w:rFonts w:ascii="標楷體" w:hAnsi="標楷體"/>
          <w:noProof/>
          <w:sz w:val="28"/>
        </w:rPr>
        <w:drawing>
          <wp:anchor distT="0" distB="0" distL="114300" distR="114300" simplePos="0" relativeHeight="251812864" behindDoc="1" locked="0" layoutInCell="1" allowOverlap="1" wp14:anchorId="1E716D9B" wp14:editId="008697DF">
            <wp:simplePos x="0" y="0"/>
            <wp:positionH relativeFrom="column">
              <wp:posOffset>1530985</wp:posOffset>
            </wp:positionH>
            <wp:positionV relativeFrom="paragraph">
              <wp:posOffset>6299200</wp:posOffset>
            </wp:positionV>
            <wp:extent cx="4937760" cy="2811780"/>
            <wp:effectExtent l="0" t="0" r="0" b="762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hAnsi="標楷體"/>
          <w:sz w:val="28"/>
        </w:rPr>
        <w:br w:type="page"/>
      </w:r>
    </w:p>
    <w:p w:rsidR="00624AB7" w:rsidRPr="00B03AE0" w:rsidRDefault="00BE6F81" w:rsidP="00B03AE0">
      <w:pPr>
        <w:snapToGrid w:val="0"/>
        <w:spacing w:afterLines="50" w:after="180" w:line="400" w:lineRule="exact"/>
        <w:ind w:leftChars="-49" w:left="566" w:rightChars="-50" w:right="-120" w:hangingChars="192" w:hanging="684"/>
        <w:rPr>
          <w:rFonts w:ascii="標楷體" w:eastAsia="標楷體" w:hAnsi="標楷體"/>
          <w:b/>
          <w:bCs/>
          <w:spacing w:val="-2"/>
          <w:kern w:val="0"/>
          <w:sz w:val="36"/>
          <w:szCs w:val="36"/>
        </w:rPr>
      </w:pPr>
      <w:r>
        <w:rPr>
          <w:rFonts w:ascii="標楷體" w:eastAsia="標楷體" w:hAnsi="標楷體" w:hint="eastAsia"/>
          <w:b/>
          <w:bCs/>
          <w:spacing w:val="-2"/>
          <w:kern w:val="0"/>
          <w:sz w:val="36"/>
          <w:szCs w:val="36"/>
        </w:rPr>
        <w:lastRenderedPageBreak/>
        <w:t>四</w:t>
      </w:r>
      <w:r w:rsidR="00987CD7" w:rsidRPr="00B03AE0">
        <w:rPr>
          <w:rFonts w:ascii="標楷體" w:eastAsia="標楷體" w:hAnsi="標楷體" w:hint="eastAsia"/>
          <w:b/>
          <w:bCs/>
          <w:spacing w:val="-2"/>
          <w:kern w:val="0"/>
          <w:sz w:val="36"/>
          <w:szCs w:val="36"/>
        </w:rPr>
        <w:t>、</w:t>
      </w:r>
      <w:r w:rsidR="00A416CC" w:rsidRPr="00A416CC">
        <w:rPr>
          <w:rFonts w:ascii="標楷體" w:eastAsia="標楷體" w:hAnsi="標楷體" w:hint="eastAsia"/>
          <w:b/>
          <w:bCs/>
          <w:spacing w:val="-2"/>
          <w:kern w:val="0"/>
          <w:sz w:val="36"/>
          <w:szCs w:val="36"/>
        </w:rPr>
        <w:t>自由貿易港區貿易量、</w:t>
      </w:r>
      <w:proofErr w:type="gramStart"/>
      <w:r w:rsidR="00A416CC" w:rsidRPr="00A416CC">
        <w:rPr>
          <w:rFonts w:ascii="標楷體" w:eastAsia="標楷體" w:hAnsi="標楷體" w:hint="eastAsia"/>
          <w:b/>
          <w:bCs/>
          <w:spacing w:val="-2"/>
          <w:kern w:val="0"/>
          <w:sz w:val="36"/>
          <w:szCs w:val="36"/>
        </w:rPr>
        <w:t>值續增</w:t>
      </w:r>
      <w:proofErr w:type="gramEnd"/>
      <w:r w:rsidR="00A416CC" w:rsidRPr="00A416CC">
        <w:rPr>
          <w:rFonts w:ascii="標楷體" w:eastAsia="標楷體" w:hAnsi="標楷體" w:hint="eastAsia"/>
          <w:b/>
          <w:bCs/>
          <w:spacing w:val="-2"/>
          <w:kern w:val="0"/>
          <w:sz w:val="36"/>
          <w:szCs w:val="36"/>
        </w:rPr>
        <w:t>，締造新高紀錄</w:t>
      </w:r>
    </w:p>
    <w:p w:rsidR="00A416CC" w:rsidRPr="00840C4A" w:rsidRDefault="00A416CC" w:rsidP="00BE6F81">
      <w:pPr>
        <w:snapToGrid w:val="0"/>
        <w:spacing w:before="120" w:line="440" w:lineRule="exact"/>
        <w:ind w:leftChars="75" w:left="180" w:rightChars="84" w:right="202" w:firstLineChars="200" w:firstLine="640"/>
        <w:jc w:val="both"/>
        <w:rPr>
          <w:rFonts w:ascii="標楷體" w:eastAsia="標楷體" w:hAnsi="標楷體"/>
          <w:sz w:val="32"/>
        </w:rPr>
      </w:pPr>
      <w:r w:rsidRPr="00840C4A">
        <w:rPr>
          <w:rFonts w:ascii="標楷體" w:eastAsia="標楷體" w:hAnsi="標楷體" w:hint="eastAsia"/>
          <w:sz w:val="32"/>
        </w:rPr>
        <w:t>105年1-6月國內7個自由貿易港區貿易量總計630萬公噸，較上年同期增加279萬公噸（+79.6%），創歷年同期新高；其中居首位之</w:t>
      </w:r>
      <w:proofErr w:type="gramStart"/>
      <w:r w:rsidRPr="00840C4A">
        <w:rPr>
          <w:rFonts w:ascii="標楷體" w:eastAsia="標楷體" w:hAnsi="標楷體" w:hint="eastAsia"/>
          <w:sz w:val="32"/>
        </w:rPr>
        <w:t>臺</w:t>
      </w:r>
      <w:proofErr w:type="gramEnd"/>
      <w:r w:rsidRPr="00840C4A">
        <w:rPr>
          <w:rFonts w:ascii="標楷體" w:eastAsia="標楷體" w:hAnsi="標楷體" w:hint="eastAsia"/>
          <w:sz w:val="32"/>
        </w:rPr>
        <w:t>中港自由港區貿易量524萬公噸，增加244萬公噸(+86.8%)，主因</w:t>
      </w:r>
      <w:proofErr w:type="gramStart"/>
      <w:r w:rsidRPr="00840C4A">
        <w:rPr>
          <w:rFonts w:ascii="標楷體" w:eastAsia="標楷體" w:hAnsi="標楷體" w:hint="eastAsia"/>
          <w:sz w:val="32"/>
        </w:rPr>
        <w:t>臺</w:t>
      </w:r>
      <w:proofErr w:type="gramEnd"/>
      <w:r w:rsidRPr="00840C4A">
        <w:rPr>
          <w:rFonts w:ascii="標楷體" w:eastAsia="標楷體" w:hAnsi="標楷體" w:hint="eastAsia"/>
          <w:sz w:val="32"/>
        </w:rPr>
        <w:t>中港為油品儲轉中心，儲運量穩定提升所致；</w:t>
      </w:r>
      <w:proofErr w:type="gramStart"/>
      <w:r w:rsidRPr="00840C4A">
        <w:rPr>
          <w:rFonts w:ascii="標楷體" w:eastAsia="標楷體" w:hAnsi="標楷體" w:hint="eastAsia"/>
          <w:sz w:val="32"/>
        </w:rPr>
        <w:t>臺</w:t>
      </w:r>
      <w:proofErr w:type="gramEnd"/>
      <w:r w:rsidRPr="00840C4A">
        <w:rPr>
          <w:rFonts w:ascii="標楷體" w:eastAsia="標楷體" w:hAnsi="標楷體" w:hint="eastAsia"/>
          <w:sz w:val="32"/>
        </w:rPr>
        <w:t>北港自由港區68萬公噸 (+87.3%)居次；高雄港自由港區36萬公噸(+15.3%)再次之，前三大自由港區貿易量均刷新歷年同期紀錄。</w:t>
      </w:r>
    </w:p>
    <w:p w:rsidR="00A416CC" w:rsidRPr="00840C4A" w:rsidRDefault="00A416CC" w:rsidP="00A416CC">
      <w:pPr>
        <w:snapToGrid w:val="0"/>
        <w:spacing w:before="120" w:line="440" w:lineRule="exact"/>
        <w:ind w:leftChars="75" w:left="180" w:rightChars="84" w:right="202" w:firstLineChars="200" w:firstLine="640"/>
        <w:jc w:val="both"/>
        <w:rPr>
          <w:rFonts w:ascii="標楷體" w:eastAsia="標楷體" w:hAnsi="標楷體"/>
          <w:sz w:val="32"/>
        </w:rPr>
      </w:pPr>
      <w:r w:rsidRPr="00840C4A">
        <w:rPr>
          <w:rFonts w:ascii="標楷體" w:eastAsia="標楷體" w:hAnsi="標楷體" w:hint="eastAsia"/>
          <w:sz w:val="32"/>
        </w:rPr>
        <w:t>就自由港區貿易值觀察，105年1-6月達3,122億元，較上年同期增加435億元(+16.2</w:t>
      </w:r>
      <w:r w:rsidRPr="00840C4A">
        <w:rPr>
          <w:rFonts w:ascii="標楷體" w:eastAsia="標楷體" w:hAnsi="標楷體"/>
          <w:sz w:val="32"/>
        </w:rPr>
        <w:t>%</w:t>
      </w:r>
      <w:r w:rsidRPr="00840C4A">
        <w:rPr>
          <w:rFonts w:ascii="標楷體" w:eastAsia="標楷體" w:hAnsi="標楷體" w:hint="eastAsia"/>
          <w:sz w:val="32"/>
        </w:rPr>
        <w:t>)，亦創歷年同期新高；其中</w:t>
      </w:r>
      <w:proofErr w:type="gramStart"/>
      <w:r w:rsidRPr="00840C4A">
        <w:rPr>
          <w:rFonts w:ascii="標楷體" w:eastAsia="標楷體" w:hAnsi="標楷體" w:hint="eastAsia"/>
          <w:sz w:val="32"/>
        </w:rPr>
        <w:t>臺</w:t>
      </w:r>
      <w:proofErr w:type="gramEnd"/>
      <w:r w:rsidRPr="00840C4A">
        <w:rPr>
          <w:rFonts w:ascii="標楷體" w:eastAsia="標楷體" w:hAnsi="標楷體" w:hint="eastAsia"/>
          <w:sz w:val="32"/>
        </w:rPr>
        <w:t>中港自由港區貿易值943億元，增加206億元(+28.0%)，高居各海港首位；高雄港自由港區因化學品及卑金屬轉運業務成長，貿易值達280億元，增加76億元(+36.9%)，創歷年同期新高。另桃園空港自由港區因廠商多引進高單價貨物轉運再出口，貿易值達1,497億元，增加183億元(+13.9%)，亦刷新歷年同期紀錄。</w:t>
      </w:r>
    </w:p>
    <w:p w:rsidR="00803F04" w:rsidRPr="00511594" w:rsidRDefault="00A416CC" w:rsidP="00A416CC">
      <w:pPr>
        <w:spacing w:beforeLines="50" w:before="180" w:afterLines="50" w:after="180" w:line="460" w:lineRule="exact"/>
        <w:ind w:leftChars="70" w:left="168" w:rightChars="84" w:right="202" w:firstLineChars="218" w:firstLine="698"/>
        <w:jc w:val="both"/>
        <w:rPr>
          <w:rFonts w:ascii="標楷體" w:eastAsia="標楷體" w:hAnsi="標楷體"/>
          <w:spacing w:val="2"/>
          <w:kern w:val="0"/>
          <w:sz w:val="32"/>
        </w:rPr>
      </w:pPr>
      <w:r w:rsidRPr="00840C4A">
        <w:rPr>
          <w:rFonts w:ascii="標楷體" w:eastAsia="標楷體" w:hAnsi="標楷體" w:hint="eastAsia"/>
          <w:sz w:val="32"/>
        </w:rPr>
        <w:t>展望未來，在政府與航商業者積極推動自由港區物流來</w:t>
      </w:r>
      <w:proofErr w:type="gramStart"/>
      <w:r w:rsidRPr="00840C4A">
        <w:rPr>
          <w:rFonts w:ascii="標楷體" w:eastAsia="標楷體" w:hAnsi="標楷體" w:hint="eastAsia"/>
          <w:sz w:val="32"/>
        </w:rPr>
        <w:t>臺</w:t>
      </w:r>
      <w:proofErr w:type="gramEnd"/>
      <w:r w:rsidRPr="00840C4A">
        <w:rPr>
          <w:rFonts w:ascii="標楷體" w:eastAsia="標楷體" w:hAnsi="標楷體" w:hint="eastAsia"/>
          <w:sz w:val="32"/>
        </w:rPr>
        <w:t>集貨、加值再轉運出口的營運模式，並配合相關稅賦優惠政策</w:t>
      </w:r>
      <w:r w:rsidR="002E2E3B">
        <w:rPr>
          <w:rFonts w:ascii="標楷體" w:eastAsia="標楷體" w:hAnsi="標楷體" w:hint="eastAsia"/>
          <w:sz w:val="32"/>
        </w:rPr>
        <w:t>下</w:t>
      </w:r>
      <w:r w:rsidRPr="00840C4A">
        <w:rPr>
          <w:rFonts w:ascii="標楷體" w:eastAsia="標楷體" w:hAnsi="標楷體" w:hint="eastAsia"/>
          <w:sz w:val="32"/>
        </w:rPr>
        <w:t>，將可進一步提升競爭力，發展前景可期</w:t>
      </w:r>
      <w:r w:rsidR="00803F04" w:rsidRPr="00511594">
        <w:rPr>
          <w:rFonts w:ascii="標楷體" w:eastAsia="標楷體" w:hAnsi="標楷體" w:hint="eastAsia"/>
          <w:spacing w:val="2"/>
          <w:kern w:val="0"/>
          <w:sz w:val="32"/>
        </w:rPr>
        <w:t>。</w:t>
      </w:r>
    </w:p>
    <w:p w:rsidR="00965698" w:rsidRPr="00FE1A07" w:rsidRDefault="00A416CC" w:rsidP="00A416CC">
      <w:pPr>
        <w:snapToGrid w:val="0"/>
        <w:spacing w:beforeLines="20" w:before="72" w:line="480" w:lineRule="exact"/>
        <w:ind w:left="38" w:rightChars="58" w:right="139" w:hangingChars="12" w:hanging="38"/>
        <w:jc w:val="center"/>
        <w:rPr>
          <w:rFonts w:ascii="標楷體" w:eastAsia="標楷體" w:hAnsi="標楷體"/>
          <w:sz w:val="32"/>
          <w:szCs w:val="32"/>
        </w:rPr>
      </w:pPr>
      <w:r w:rsidRPr="00A416CC">
        <w:rPr>
          <w:rFonts w:ascii="標楷體" w:eastAsia="標楷體" w:hAnsi="標楷體" w:hint="eastAsia"/>
          <w:sz w:val="32"/>
          <w:szCs w:val="32"/>
        </w:rPr>
        <w:t>近6年1-6月自由港區貿易量、值</w:t>
      </w:r>
    </w:p>
    <w:p w:rsidR="00A416CC" w:rsidRDefault="00A416CC" w:rsidP="00A416CC">
      <w:pPr>
        <w:snapToGrid w:val="0"/>
        <w:spacing w:line="240" w:lineRule="exact"/>
        <w:ind w:rightChars="-86" w:right="-206"/>
        <w:jc w:val="both"/>
        <w:rPr>
          <w:rFonts w:ascii="標楷體" w:eastAsia="標楷體" w:hAnsi="標楷體"/>
          <w:b/>
          <w:bCs/>
          <w:color w:val="0D0D0D" w:themeColor="text1" w:themeTint="F2"/>
          <w:spacing w:val="-8"/>
          <w:kern w:val="0"/>
          <w:sz w:val="36"/>
          <w:szCs w:val="36"/>
        </w:rPr>
      </w:pPr>
      <w:r>
        <w:rPr>
          <w:rFonts w:hint="eastAsia"/>
          <w:noProof/>
        </w:rPr>
        <w:drawing>
          <wp:anchor distT="0" distB="0" distL="114300" distR="114300" simplePos="0" relativeHeight="251810816" behindDoc="1" locked="0" layoutInCell="1" allowOverlap="1" wp14:anchorId="16B91E86" wp14:editId="56D4B4E6">
            <wp:simplePos x="0" y="0"/>
            <wp:positionH relativeFrom="column">
              <wp:posOffset>110490</wp:posOffset>
            </wp:positionH>
            <wp:positionV relativeFrom="paragraph">
              <wp:posOffset>45720</wp:posOffset>
            </wp:positionV>
            <wp:extent cx="5143500" cy="2486025"/>
            <wp:effectExtent l="19050" t="19050" r="19050" b="28575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6" r="3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4860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6CC" w:rsidRDefault="00A416CC" w:rsidP="00A416CC">
      <w:pPr>
        <w:snapToGrid w:val="0"/>
        <w:spacing w:line="240" w:lineRule="exact"/>
        <w:ind w:rightChars="-86" w:right="-206"/>
        <w:jc w:val="both"/>
        <w:rPr>
          <w:rFonts w:ascii="標楷體" w:eastAsia="標楷體" w:hAnsi="標楷體"/>
          <w:b/>
          <w:bCs/>
          <w:color w:val="0D0D0D" w:themeColor="text1" w:themeTint="F2"/>
          <w:spacing w:val="-8"/>
          <w:kern w:val="0"/>
          <w:sz w:val="36"/>
          <w:szCs w:val="36"/>
        </w:rPr>
      </w:pPr>
    </w:p>
    <w:p w:rsidR="00A416CC" w:rsidRDefault="00A416CC" w:rsidP="00A416CC">
      <w:pPr>
        <w:snapToGrid w:val="0"/>
        <w:spacing w:line="240" w:lineRule="exact"/>
        <w:ind w:rightChars="-86" w:right="-206"/>
        <w:jc w:val="both"/>
        <w:rPr>
          <w:rFonts w:ascii="標楷體" w:eastAsia="標楷體" w:hAnsi="標楷體"/>
          <w:b/>
          <w:bCs/>
          <w:color w:val="0D0D0D" w:themeColor="text1" w:themeTint="F2"/>
          <w:spacing w:val="-8"/>
          <w:kern w:val="0"/>
          <w:sz w:val="36"/>
          <w:szCs w:val="36"/>
        </w:rPr>
      </w:pPr>
    </w:p>
    <w:p w:rsidR="00A416CC" w:rsidRDefault="00A416CC" w:rsidP="00A416CC">
      <w:pPr>
        <w:snapToGrid w:val="0"/>
        <w:spacing w:line="240" w:lineRule="exact"/>
        <w:ind w:rightChars="-86" w:right="-206"/>
        <w:jc w:val="both"/>
        <w:rPr>
          <w:rFonts w:ascii="標楷體" w:eastAsia="標楷體" w:hAnsi="標楷體"/>
          <w:b/>
          <w:bCs/>
          <w:color w:val="0D0D0D" w:themeColor="text1" w:themeTint="F2"/>
          <w:spacing w:val="-8"/>
          <w:kern w:val="0"/>
          <w:sz w:val="36"/>
          <w:szCs w:val="36"/>
        </w:rPr>
      </w:pPr>
    </w:p>
    <w:p w:rsidR="00A416CC" w:rsidRDefault="00A416CC" w:rsidP="00A416CC">
      <w:pPr>
        <w:snapToGrid w:val="0"/>
        <w:spacing w:line="240" w:lineRule="exact"/>
        <w:ind w:rightChars="-86" w:right="-206"/>
        <w:jc w:val="both"/>
        <w:rPr>
          <w:rFonts w:ascii="標楷體" w:eastAsia="標楷體" w:hAnsi="標楷體"/>
          <w:b/>
          <w:bCs/>
          <w:color w:val="0D0D0D" w:themeColor="text1" w:themeTint="F2"/>
          <w:spacing w:val="-8"/>
          <w:kern w:val="0"/>
          <w:sz w:val="36"/>
          <w:szCs w:val="36"/>
        </w:rPr>
      </w:pPr>
    </w:p>
    <w:p w:rsidR="00A416CC" w:rsidRDefault="00A416CC" w:rsidP="00A416CC">
      <w:pPr>
        <w:snapToGrid w:val="0"/>
        <w:spacing w:line="240" w:lineRule="exact"/>
        <w:ind w:rightChars="-86" w:right="-206"/>
        <w:jc w:val="both"/>
        <w:rPr>
          <w:rFonts w:ascii="標楷體" w:eastAsia="標楷體" w:hAnsi="標楷體"/>
          <w:b/>
          <w:bCs/>
          <w:color w:val="0D0D0D" w:themeColor="text1" w:themeTint="F2"/>
          <w:spacing w:val="-8"/>
          <w:kern w:val="0"/>
          <w:sz w:val="36"/>
          <w:szCs w:val="36"/>
        </w:rPr>
      </w:pPr>
    </w:p>
    <w:p w:rsidR="00A416CC" w:rsidRDefault="00A416CC" w:rsidP="00A416CC">
      <w:pPr>
        <w:snapToGrid w:val="0"/>
        <w:spacing w:line="240" w:lineRule="exact"/>
        <w:ind w:rightChars="-86" w:right="-206"/>
        <w:jc w:val="both"/>
        <w:rPr>
          <w:rFonts w:ascii="標楷體" w:eastAsia="標楷體" w:hAnsi="標楷體"/>
          <w:b/>
          <w:bCs/>
          <w:color w:val="0D0D0D" w:themeColor="text1" w:themeTint="F2"/>
          <w:spacing w:val="-8"/>
          <w:kern w:val="0"/>
          <w:sz w:val="36"/>
          <w:szCs w:val="36"/>
        </w:rPr>
      </w:pPr>
    </w:p>
    <w:p w:rsidR="00A416CC" w:rsidRDefault="00A416CC" w:rsidP="00A416CC">
      <w:pPr>
        <w:snapToGrid w:val="0"/>
        <w:spacing w:line="240" w:lineRule="exact"/>
        <w:ind w:rightChars="-86" w:right="-206"/>
        <w:jc w:val="both"/>
        <w:rPr>
          <w:rFonts w:ascii="標楷體" w:eastAsia="標楷體" w:hAnsi="標楷體"/>
          <w:b/>
          <w:bCs/>
          <w:color w:val="0D0D0D" w:themeColor="text1" w:themeTint="F2"/>
          <w:spacing w:val="-8"/>
          <w:kern w:val="0"/>
          <w:sz w:val="36"/>
          <w:szCs w:val="36"/>
        </w:rPr>
      </w:pPr>
    </w:p>
    <w:p w:rsidR="00A416CC" w:rsidRDefault="00A416CC" w:rsidP="00A416CC">
      <w:pPr>
        <w:snapToGrid w:val="0"/>
        <w:spacing w:line="240" w:lineRule="exact"/>
        <w:ind w:rightChars="-86" w:right="-206"/>
        <w:jc w:val="both"/>
        <w:rPr>
          <w:rFonts w:ascii="標楷體" w:eastAsia="標楷體" w:hAnsi="標楷體"/>
          <w:b/>
          <w:bCs/>
          <w:color w:val="0D0D0D" w:themeColor="text1" w:themeTint="F2"/>
          <w:spacing w:val="-8"/>
          <w:kern w:val="0"/>
          <w:sz w:val="36"/>
          <w:szCs w:val="36"/>
        </w:rPr>
      </w:pPr>
    </w:p>
    <w:p w:rsidR="00A416CC" w:rsidRDefault="00A416CC" w:rsidP="00A416CC">
      <w:pPr>
        <w:snapToGrid w:val="0"/>
        <w:spacing w:line="240" w:lineRule="exact"/>
        <w:ind w:rightChars="-86" w:right="-206"/>
        <w:jc w:val="both"/>
        <w:rPr>
          <w:rFonts w:ascii="標楷體" w:eastAsia="標楷體" w:hAnsi="標楷體"/>
          <w:b/>
          <w:bCs/>
          <w:color w:val="0D0D0D" w:themeColor="text1" w:themeTint="F2"/>
          <w:spacing w:val="-8"/>
          <w:kern w:val="0"/>
          <w:sz w:val="36"/>
          <w:szCs w:val="36"/>
        </w:rPr>
      </w:pPr>
    </w:p>
    <w:p w:rsidR="00A416CC" w:rsidRPr="00A416CC" w:rsidRDefault="00A416CC" w:rsidP="00A416CC">
      <w:pPr>
        <w:snapToGrid w:val="0"/>
        <w:spacing w:line="240" w:lineRule="exact"/>
        <w:ind w:rightChars="-86" w:right="-206"/>
        <w:jc w:val="both"/>
        <w:rPr>
          <w:rFonts w:ascii="標楷體" w:eastAsia="標楷體" w:hAnsi="標楷體"/>
          <w:sz w:val="21"/>
          <w:szCs w:val="21"/>
        </w:rPr>
      </w:pPr>
    </w:p>
    <w:p w:rsidR="00A416CC" w:rsidRPr="00A416CC" w:rsidRDefault="00A416CC" w:rsidP="00A416CC">
      <w:pPr>
        <w:snapToGrid w:val="0"/>
        <w:spacing w:line="240" w:lineRule="exact"/>
        <w:ind w:rightChars="-86" w:right="-206"/>
        <w:jc w:val="both"/>
        <w:rPr>
          <w:rFonts w:ascii="標楷體" w:eastAsia="標楷體" w:hAnsi="標楷體"/>
          <w:sz w:val="21"/>
          <w:szCs w:val="21"/>
        </w:rPr>
      </w:pPr>
    </w:p>
    <w:p w:rsidR="00A416CC" w:rsidRPr="00A416CC" w:rsidRDefault="00A416CC" w:rsidP="00A416CC">
      <w:pPr>
        <w:snapToGrid w:val="0"/>
        <w:spacing w:line="240" w:lineRule="exact"/>
        <w:ind w:rightChars="-86" w:right="-206"/>
        <w:jc w:val="both"/>
        <w:rPr>
          <w:rFonts w:ascii="標楷體" w:eastAsia="標楷體" w:hAnsi="標楷體"/>
          <w:sz w:val="21"/>
          <w:szCs w:val="21"/>
        </w:rPr>
      </w:pPr>
    </w:p>
    <w:p w:rsidR="00A416CC" w:rsidRPr="00A416CC" w:rsidRDefault="00A416CC" w:rsidP="00A416CC">
      <w:pPr>
        <w:snapToGrid w:val="0"/>
        <w:spacing w:line="240" w:lineRule="exact"/>
        <w:ind w:rightChars="-86" w:right="-206"/>
        <w:jc w:val="both"/>
        <w:rPr>
          <w:rFonts w:ascii="標楷體" w:eastAsia="標楷體" w:hAnsi="標楷體"/>
          <w:sz w:val="21"/>
          <w:szCs w:val="21"/>
        </w:rPr>
      </w:pPr>
    </w:p>
    <w:p w:rsidR="00A416CC" w:rsidRPr="00A416CC" w:rsidRDefault="00A416CC" w:rsidP="00A416CC">
      <w:pPr>
        <w:snapToGrid w:val="0"/>
        <w:spacing w:line="240" w:lineRule="exact"/>
        <w:ind w:rightChars="-86" w:right="-206"/>
        <w:jc w:val="both"/>
        <w:rPr>
          <w:rFonts w:ascii="標楷體" w:eastAsia="標楷體" w:hAnsi="標楷體"/>
          <w:sz w:val="21"/>
          <w:szCs w:val="21"/>
        </w:rPr>
      </w:pPr>
    </w:p>
    <w:p w:rsidR="00A416CC" w:rsidRPr="00A416CC" w:rsidRDefault="00A416CC" w:rsidP="00A416CC">
      <w:pPr>
        <w:snapToGrid w:val="0"/>
        <w:spacing w:line="240" w:lineRule="exact"/>
        <w:ind w:rightChars="-86" w:right="-206"/>
        <w:jc w:val="both"/>
        <w:rPr>
          <w:rFonts w:ascii="標楷體" w:eastAsia="標楷體" w:hAnsi="標楷體"/>
          <w:sz w:val="21"/>
          <w:szCs w:val="21"/>
        </w:rPr>
      </w:pPr>
    </w:p>
    <w:p w:rsidR="00DA26C6" w:rsidRPr="00A416CC" w:rsidRDefault="00DA26C6" w:rsidP="00A416CC">
      <w:pPr>
        <w:snapToGrid w:val="0"/>
        <w:spacing w:line="240" w:lineRule="exact"/>
        <w:ind w:rightChars="-86" w:right="-206"/>
        <w:jc w:val="both"/>
        <w:rPr>
          <w:rFonts w:ascii="標楷體" w:eastAsia="標楷體" w:hAnsi="標楷體"/>
          <w:sz w:val="21"/>
          <w:szCs w:val="21"/>
        </w:rPr>
      </w:pPr>
    </w:p>
    <w:p w:rsidR="00965698" w:rsidRDefault="00A416CC" w:rsidP="00A416CC">
      <w:pPr>
        <w:snapToGrid w:val="0"/>
        <w:spacing w:line="240" w:lineRule="exact"/>
        <w:ind w:rightChars="-86" w:right="-206"/>
        <w:jc w:val="both"/>
        <w:rPr>
          <w:rFonts w:ascii="標楷體" w:eastAsia="標楷體" w:hAnsi="標楷體"/>
          <w:b/>
          <w:bCs/>
          <w:color w:val="0D0D0D" w:themeColor="text1" w:themeTint="F2"/>
          <w:spacing w:val="-8"/>
          <w:kern w:val="0"/>
          <w:sz w:val="36"/>
          <w:szCs w:val="36"/>
        </w:rPr>
      </w:pPr>
      <w:r w:rsidRPr="00840C4A">
        <w:rPr>
          <w:rFonts w:ascii="標楷體" w:eastAsia="標楷體" w:hAnsi="標楷體" w:hint="eastAsia"/>
          <w:sz w:val="21"/>
          <w:szCs w:val="21"/>
        </w:rPr>
        <w:t>說明：本表總計含基隆港、蘇澳港及安平港。</w:t>
      </w:r>
      <w:r w:rsidR="00965698">
        <w:rPr>
          <w:rFonts w:ascii="標楷體" w:eastAsia="標楷體" w:hAnsi="標楷體"/>
          <w:b/>
          <w:bCs/>
          <w:color w:val="0D0D0D" w:themeColor="text1" w:themeTint="F2"/>
          <w:spacing w:val="-8"/>
          <w:kern w:val="0"/>
          <w:sz w:val="36"/>
          <w:szCs w:val="36"/>
        </w:rPr>
        <w:br w:type="page"/>
      </w:r>
    </w:p>
    <w:p w:rsidR="00491228" w:rsidRPr="00AA39F9" w:rsidRDefault="00987CD7" w:rsidP="0092305A">
      <w:pPr>
        <w:snapToGrid w:val="0"/>
        <w:spacing w:afterLines="40" w:after="144" w:line="400" w:lineRule="exact"/>
        <w:ind w:left="757" w:hangingChars="210" w:hanging="757"/>
        <w:rPr>
          <w:rFonts w:ascii="標楷體" w:eastAsia="標楷體" w:hAnsi="標楷體"/>
          <w:b/>
          <w:bCs/>
          <w:sz w:val="36"/>
          <w:szCs w:val="36"/>
        </w:rPr>
      </w:pPr>
      <w:r w:rsidRPr="00B03AE0">
        <w:rPr>
          <w:rFonts w:ascii="標楷體" w:eastAsia="標楷體" w:hAnsi="標楷體" w:hint="eastAsia"/>
          <w:b/>
          <w:bCs/>
          <w:color w:val="0D0D0D" w:themeColor="text1" w:themeTint="F2"/>
          <w:sz w:val="36"/>
          <w:szCs w:val="36"/>
        </w:rPr>
        <w:lastRenderedPageBreak/>
        <w:t>五</w:t>
      </w:r>
      <w:r w:rsidRPr="00AA39F9">
        <w:rPr>
          <w:rFonts w:ascii="標楷體" w:eastAsia="標楷體" w:hAnsi="標楷體" w:hint="eastAsia"/>
          <w:b/>
          <w:bCs/>
          <w:sz w:val="36"/>
          <w:szCs w:val="36"/>
        </w:rPr>
        <w:t>、</w:t>
      </w:r>
      <w:r w:rsidR="0030215D" w:rsidRPr="0030215D">
        <w:rPr>
          <w:rFonts w:ascii="標楷體" w:eastAsia="標楷體" w:hAnsi="標楷體" w:hint="eastAsia"/>
          <w:b/>
          <w:bCs/>
          <w:sz w:val="36"/>
          <w:szCs w:val="36"/>
        </w:rPr>
        <w:t>桃園</w:t>
      </w:r>
      <w:r w:rsidR="0030215D" w:rsidRPr="0092305A">
        <w:rPr>
          <w:rFonts w:ascii="Arial" w:eastAsia="標楷體" w:hAnsi="Arial" w:cs="Arial" w:hint="eastAsia"/>
          <w:b/>
          <w:bCs/>
          <w:spacing w:val="15"/>
          <w:sz w:val="36"/>
          <w:szCs w:val="33"/>
          <w:shd w:val="clear" w:color="auto" w:fill="FFFFFF"/>
        </w:rPr>
        <w:t>機場</w:t>
      </w:r>
      <w:r w:rsidR="0030215D" w:rsidRPr="0030215D">
        <w:rPr>
          <w:rFonts w:ascii="標楷體" w:eastAsia="標楷體" w:hAnsi="標楷體" w:hint="eastAsia"/>
          <w:b/>
          <w:bCs/>
          <w:sz w:val="36"/>
          <w:szCs w:val="36"/>
        </w:rPr>
        <w:t>進出旅客續攀升</w:t>
      </w:r>
      <w:r w:rsidR="0030215D">
        <w:rPr>
          <w:rFonts w:ascii="標楷體" w:eastAsia="標楷體" w:hAnsi="標楷體" w:hint="eastAsia"/>
          <w:b/>
          <w:bCs/>
          <w:sz w:val="36"/>
          <w:szCs w:val="36"/>
        </w:rPr>
        <w:t>，</w:t>
      </w:r>
      <w:r w:rsidR="0030215D" w:rsidRPr="0030215D">
        <w:rPr>
          <w:rFonts w:ascii="標楷體" w:eastAsia="標楷體" w:hAnsi="標楷體" w:hint="eastAsia"/>
          <w:b/>
          <w:bCs/>
          <w:sz w:val="36"/>
          <w:szCs w:val="36"/>
        </w:rPr>
        <w:t>南韓航線載客數增逾三成</w:t>
      </w:r>
    </w:p>
    <w:p w:rsidR="0030215D" w:rsidRPr="00E90302" w:rsidRDefault="0030215D" w:rsidP="0030215D">
      <w:pPr>
        <w:spacing w:beforeLines="50" w:before="180" w:afterLines="50" w:after="180" w:line="460" w:lineRule="exact"/>
        <w:ind w:leftChars="50" w:left="120" w:rightChars="50" w:right="120" w:firstLineChars="200" w:firstLine="64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本(</w:t>
      </w:r>
      <w:r w:rsidRPr="00E90302">
        <w:rPr>
          <w:rFonts w:ascii="標楷體" w:eastAsia="標楷體" w:hAnsi="標楷體" w:hint="eastAsia"/>
          <w:color w:val="000000"/>
          <w:sz w:val="32"/>
        </w:rPr>
        <w:t>105</w:t>
      </w:r>
      <w:r>
        <w:rPr>
          <w:rFonts w:ascii="標楷體" w:eastAsia="標楷體" w:hAnsi="標楷體" w:hint="eastAsia"/>
          <w:color w:val="000000"/>
          <w:sz w:val="32"/>
        </w:rPr>
        <w:t>)</w:t>
      </w:r>
      <w:r w:rsidRPr="00E90302">
        <w:rPr>
          <w:rFonts w:ascii="標楷體" w:eastAsia="標楷體" w:hAnsi="標楷體" w:hint="eastAsia"/>
          <w:color w:val="000000"/>
          <w:sz w:val="32"/>
        </w:rPr>
        <w:t>年1-6月我國各機場總計進出旅客</w:t>
      </w:r>
      <w:r w:rsidR="00351C7D">
        <w:rPr>
          <w:rFonts w:ascii="標楷體" w:eastAsia="標楷體" w:hAnsi="標楷體" w:hint="eastAsia"/>
          <w:color w:val="000000"/>
          <w:sz w:val="32"/>
        </w:rPr>
        <w:t>3,145</w:t>
      </w:r>
      <w:r w:rsidRPr="00E90302">
        <w:rPr>
          <w:rFonts w:ascii="標楷體" w:eastAsia="標楷體" w:hAnsi="標楷體" w:hint="eastAsia"/>
          <w:color w:val="000000"/>
          <w:sz w:val="32"/>
        </w:rPr>
        <w:t>萬人次，較上年同期成長11.6%，續創歷年同期新高，其中國際航線（含港澳）旅客</w:t>
      </w:r>
      <w:r w:rsidR="00351C7D">
        <w:rPr>
          <w:rFonts w:ascii="標楷體" w:eastAsia="標楷體" w:hAnsi="標楷體" w:hint="eastAsia"/>
          <w:color w:val="000000"/>
          <w:sz w:val="32"/>
        </w:rPr>
        <w:t>1,986</w:t>
      </w:r>
      <w:r w:rsidRPr="00E90302">
        <w:rPr>
          <w:rFonts w:ascii="標楷體" w:eastAsia="標楷體" w:hAnsi="標楷體" w:hint="eastAsia"/>
          <w:color w:val="000000"/>
          <w:sz w:val="32"/>
        </w:rPr>
        <w:t>萬人次(+13.6%)及兩岸航線60</w:t>
      </w:r>
      <w:r w:rsidR="00351C7D">
        <w:rPr>
          <w:rFonts w:ascii="標楷體" w:eastAsia="標楷體" w:hAnsi="標楷體" w:hint="eastAsia"/>
          <w:color w:val="000000"/>
          <w:sz w:val="32"/>
        </w:rPr>
        <w:t>2</w:t>
      </w:r>
      <w:r w:rsidRPr="00E90302">
        <w:rPr>
          <w:rFonts w:ascii="標楷體" w:eastAsia="標楷體" w:hAnsi="標楷體" w:hint="eastAsia"/>
          <w:color w:val="000000"/>
          <w:sz w:val="32"/>
        </w:rPr>
        <w:t>萬人次(+3.5%)</w:t>
      </w:r>
      <w:proofErr w:type="gramStart"/>
      <w:r w:rsidRPr="00E90302">
        <w:rPr>
          <w:rFonts w:ascii="標楷體" w:eastAsia="標楷體" w:hAnsi="標楷體" w:hint="eastAsia"/>
          <w:color w:val="000000"/>
          <w:sz w:val="32"/>
        </w:rPr>
        <w:t>均為</w:t>
      </w:r>
      <w:r>
        <w:rPr>
          <w:rFonts w:ascii="標楷體" w:eastAsia="標楷體" w:hAnsi="標楷體" w:hint="eastAsia"/>
          <w:color w:val="000000"/>
          <w:sz w:val="32"/>
        </w:rPr>
        <w:t>歷年</w:t>
      </w:r>
      <w:proofErr w:type="gramEnd"/>
      <w:r w:rsidRPr="00E90302">
        <w:rPr>
          <w:rFonts w:ascii="標楷體" w:eastAsia="標楷體" w:hAnsi="標楷體" w:hint="eastAsia"/>
          <w:color w:val="000000"/>
          <w:sz w:val="32"/>
        </w:rPr>
        <w:t>同期之冠；另國內航線</w:t>
      </w:r>
      <w:r>
        <w:rPr>
          <w:rFonts w:ascii="標楷體" w:eastAsia="標楷體" w:hAnsi="標楷體" w:hint="eastAsia"/>
          <w:color w:val="000000"/>
          <w:sz w:val="32"/>
        </w:rPr>
        <w:t>及</w:t>
      </w:r>
      <w:r w:rsidRPr="00E90302">
        <w:rPr>
          <w:rFonts w:ascii="標楷體" w:eastAsia="標楷體" w:hAnsi="標楷體" w:hint="eastAsia"/>
          <w:color w:val="000000"/>
          <w:sz w:val="32"/>
        </w:rPr>
        <w:t>過境旅客</w:t>
      </w:r>
      <w:r>
        <w:rPr>
          <w:rFonts w:ascii="標楷體" w:eastAsia="標楷體" w:hAnsi="標楷體" w:hint="eastAsia"/>
          <w:color w:val="000000"/>
          <w:sz w:val="32"/>
        </w:rPr>
        <w:t>分別達</w:t>
      </w:r>
      <w:r w:rsidR="00351C7D">
        <w:rPr>
          <w:rFonts w:ascii="標楷體" w:eastAsia="標楷體" w:hAnsi="標楷體" w:hint="eastAsia"/>
          <w:color w:val="000000"/>
          <w:sz w:val="32"/>
        </w:rPr>
        <w:t>537</w:t>
      </w:r>
      <w:r w:rsidRPr="00E90302">
        <w:rPr>
          <w:rFonts w:ascii="標楷體" w:eastAsia="標楷體" w:hAnsi="標楷體" w:hint="eastAsia"/>
          <w:color w:val="000000"/>
          <w:sz w:val="32"/>
        </w:rPr>
        <w:t>萬人次(+14.8%)</w:t>
      </w:r>
      <w:r>
        <w:rPr>
          <w:rFonts w:ascii="標楷體" w:eastAsia="標楷體" w:hAnsi="標楷體" w:hint="eastAsia"/>
          <w:color w:val="000000"/>
          <w:sz w:val="32"/>
        </w:rPr>
        <w:t>、</w:t>
      </w:r>
      <w:r w:rsidR="00351C7D">
        <w:rPr>
          <w:rFonts w:ascii="標楷體" w:eastAsia="標楷體" w:hAnsi="標楷體" w:hint="eastAsia"/>
          <w:color w:val="000000"/>
          <w:sz w:val="32"/>
        </w:rPr>
        <w:t>20</w:t>
      </w:r>
      <w:r w:rsidRPr="00E90302">
        <w:rPr>
          <w:rFonts w:ascii="標楷體" w:eastAsia="標楷體" w:hAnsi="標楷體" w:hint="eastAsia"/>
          <w:color w:val="000000"/>
          <w:sz w:val="32"/>
        </w:rPr>
        <w:t>萬人次(+0.8%)。</w:t>
      </w:r>
    </w:p>
    <w:p w:rsidR="0030215D" w:rsidRPr="00E90302" w:rsidRDefault="00100B8D" w:rsidP="0030215D">
      <w:pPr>
        <w:tabs>
          <w:tab w:val="left" w:pos="8222"/>
        </w:tabs>
        <w:snapToGrid w:val="0"/>
        <w:spacing w:beforeLines="50" w:before="180" w:line="500" w:lineRule="exact"/>
        <w:ind w:rightChars="17" w:right="41" w:firstLineChars="200" w:firstLine="640"/>
        <w:jc w:val="both"/>
        <w:rPr>
          <w:rFonts w:ascii="標楷體" w:eastAsia="標楷體" w:hAnsi="標楷體"/>
          <w:color w:val="000000"/>
          <w:sz w:val="32"/>
        </w:rPr>
      </w:pPr>
      <w:r w:rsidRPr="00E90302">
        <w:rPr>
          <w:rFonts w:ascii="標楷體" w:eastAsia="標楷體" w:hAnsi="標楷體" w:hint="eastAsia"/>
          <w:color w:val="000000"/>
          <w:sz w:val="32"/>
        </w:rPr>
        <w:t>觀察</w:t>
      </w:r>
      <w:r w:rsidR="0030215D" w:rsidRPr="00E90302">
        <w:rPr>
          <w:rFonts w:ascii="標楷體" w:eastAsia="標楷體" w:hAnsi="標楷體" w:hint="eastAsia"/>
          <w:color w:val="000000"/>
          <w:sz w:val="32"/>
        </w:rPr>
        <w:t>各機場客運量，</w:t>
      </w:r>
      <w:r w:rsidR="0030215D">
        <w:rPr>
          <w:rFonts w:ascii="標楷體" w:eastAsia="標楷體" w:hAnsi="標楷體" w:hint="eastAsia"/>
          <w:color w:val="000000"/>
          <w:sz w:val="32"/>
        </w:rPr>
        <w:t>1-6月</w:t>
      </w:r>
      <w:r w:rsidR="0030215D" w:rsidRPr="00E90302">
        <w:rPr>
          <w:rFonts w:ascii="標楷體" w:eastAsia="標楷體" w:hAnsi="標楷體" w:hint="eastAsia"/>
          <w:color w:val="000000"/>
          <w:sz w:val="32"/>
        </w:rPr>
        <w:t>桃園國際機場進出旅客2,093萬人次，成</w:t>
      </w:r>
      <w:r w:rsidR="0030215D" w:rsidRPr="00E90302">
        <w:rPr>
          <w:rFonts w:ascii="標楷體" w:eastAsia="標楷體" w:hAnsi="標楷體"/>
          <w:color w:val="000000"/>
          <w:sz w:val="32"/>
        </w:rPr>
        <w:t>長</w:t>
      </w:r>
      <w:r w:rsidR="0030215D" w:rsidRPr="00E90302">
        <w:rPr>
          <w:rFonts w:ascii="標楷體" w:eastAsia="標楷體" w:hAnsi="標楷體" w:hint="eastAsia"/>
          <w:color w:val="000000"/>
          <w:sz w:val="32"/>
        </w:rPr>
        <w:t>11.6%</w:t>
      </w:r>
      <w:r w:rsidR="0030215D">
        <w:rPr>
          <w:rFonts w:ascii="標楷體" w:eastAsia="標楷體" w:hAnsi="標楷體" w:hint="eastAsia"/>
          <w:color w:val="000000"/>
          <w:sz w:val="32"/>
        </w:rPr>
        <w:t>，創歷年同期新高；</w:t>
      </w:r>
      <w:r w:rsidR="0030215D" w:rsidRPr="00E90302">
        <w:rPr>
          <w:rFonts w:ascii="標楷體" w:eastAsia="標楷體" w:hAnsi="標楷體" w:hint="eastAsia"/>
          <w:color w:val="000000"/>
          <w:sz w:val="32"/>
        </w:rPr>
        <w:t>另高雄及</w:t>
      </w:r>
      <w:r w:rsidR="0030215D" w:rsidRPr="00E90302">
        <w:rPr>
          <w:rFonts w:ascii="標楷體" w:eastAsia="標楷體" w:hAnsi="標楷體"/>
          <w:color w:val="000000"/>
          <w:sz w:val="32"/>
        </w:rPr>
        <w:t>松山</w:t>
      </w:r>
      <w:r w:rsidR="0030215D" w:rsidRPr="00E90302">
        <w:rPr>
          <w:rFonts w:ascii="標楷體" w:eastAsia="標楷體" w:hAnsi="標楷體" w:hint="eastAsia"/>
          <w:color w:val="000000"/>
          <w:sz w:val="32"/>
        </w:rPr>
        <w:t>機場進出旅客分別為32</w:t>
      </w:r>
      <w:r w:rsidR="00351C7D">
        <w:rPr>
          <w:rFonts w:ascii="標楷體" w:eastAsia="標楷體" w:hAnsi="標楷體" w:hint="eastAsia"/>
          <w:color w:val="000000"/>
          <w:sz w:val="32"/>
        </w:rPr>
        <w:t>8</w:t>
      </w:r>
      <w:r w:rsidR="0030215D" w:rsidRPr="00E90302">
        <w:rPr>
          <w:rFonts w:ascii="標楷體" w:eastAsia="標楷體" w:hAnsi="標楷體" w:hint="eastAsia"/>
          <w:color w:val="000000"/>
          <w:sz w:val="32"/>
        </w:rPr>
        <w:t>萬人次(+15.2%)及307萬人次(+8.2%)，皆</w:t>
      </w:r>
      <w:r w:rsidR="0030215D">
        <w:rPr>
          <w:rFonts w:ascii="標楷體" w:eastAsia="標楷體" w:hAnsi="標楷體" w:hint="eastAsia"/>
          <w:color w:val="000000"/>
          <w:sz w:val="32"/>
        </w:rPr>
        <w:t>為</w:t>
      </w:r>
      <w:r w:rsidR="0030215D" w:rsidRPr="00E90302">
        <w:rPr>
          <w:rFonts w:ascii="標楷體" w:eastAsia="標楷體" w:hAnsi="標楷體" w:hint="eastAsia"/>
          <w:color w:val="000000"/>
          <w:sz w:val="32"/>
        </w:rPr>
        <w:t>近10</w:t>
      </w:r>
      <w:r w:rsidR="0030215D">
        <w:rPr>
          <w:rFonts w:ascii="標楷體" w:eastAsia="標楷體" w:hAnsi="標楷體" w:hint="eastAsia"/>
          <w:color w:val="000000"/>
          <w:sz w:val="32"/>
        </w:rPr>
        <w:t>年最</w:t>
      </w:r>
      <w:r w:rsidR="0030215D" w:rsidRPr="00E90302">
        <w:rPr>
          <w:rFonts w:ascii="標楷體" w:eastAsia="標楷體" w:hAnsi="標楷體" w:hint="eastAsia"/>
          <w:color w:val="000000"/>
          <w:sz w:val="32"/>
        </w:rPr>
        <w:t>高。</w:t>
      </w:r>
    </w:p>
    <w:p w:rsidR="00965698" w:rsidRDefault="00100B8D" w:rsidP="0030215D">
      <w:pPr>
        <w:spacing w:beforeLines="50" w:before="180" w:afterLines="50" w:after="180" w:line="460" w:lineRule="exact"/>
        <w:ind w:leftChars="50" w:left="120" w:rightChars="50" w:right="120" w:firstLineChars="200" w:firstLine="640"/>
        <w:jc w:val="both"/>
        <w:rPr>
          <w:rFonts w:ascii="標楷體" w:eastAsia="標楷體" w:hAnsi="標楷體"/>
          <w:color w:val="000000"/>
          <w:sz w:val="32"/>
        </w:rPr>
      </w:pPr>
      <w:r w:rsidRPr="008C1932">
        <w:rPr>
          <w:rFonts w:ascii="標楷體" w:eastAsia="標楷體" w:hAnsi="標楷體" w:hint="eastAsia"/>
          <w:color w:val="000000"/>
          <w:sz w:val="32"/>
        </w:rPr>
        <w:t>觀察</w:t>
      </w:r>
      <w:r w:rsidR="0030215D" w:rsidRPr="008C1932">
        <w:rPr>
          <w:rFonts w:ascii="標楷體" w:eastAsia="標楷體" w:hAnsi="標楷體" w:hint="eastAsia"/>
          <w:color w:val="000000"/>
          <w:sz w:val="32"/>
        </w:rPr>
        <w:t>國際航線(含港澳)載客量，今年上半年以往返日本航線載客617萬人次居首</w:t>
      </w:r>
      <w:r w:rsidR="0030215D" w:rsidRPr="008C1932">
        <w:rPr>
          <w:rFonts w:ascii="標楷體" w:eastAsia="標楷體" w:hAnsi="標楷體" w:cs="Arial" w:hint="eastAsia"/>
          <w:color w:val="000000"/>
          <w:sz w:val="32"/>
        </w:rPr>
        <w:t>，較上年同期增加18.6%</w:t>
      </w:r>
      <w:r w:rsidR="0030215D">
        <w:rPr>
          <w:rFonts w:ascii="標楷體" w:eastAsia="標楷體" w:hAnsi="標楷體" w:hint="eastAsia"/>
          <w:color w:val="000000"/>
          <w:sz w:val="32"/>
        </w:rPr>
        <w:t>；</w:t>
      </w:r>
      <w:r w:rsidR="0030215D" w:rsidRPr="008C1932">
        <w:rPr>
          <w:rFonts w:ascii="標楷體" w:eastAsia="標楷體" w:hAnsi="標楷體" w:hint="eastAsia"/>
          <w:color w:val="000000"/>
          <w:sz w:val="32"/>
        </w:rPr>
        <w:t>次為香港航線456萬人次，增加3.9%</w:t>
      </w:r>
      <w:r w:rsidR="0030215D">
        <w:rPr>
          <w:rFonts w:ascii="標楷體" w:eastAsia="標楷體" w:hAnsi="標楷體" w:hint="eastAsia"/>
          <w:color w:val="000000"/>
          <w:sz w:val="32"/>
        </w:rPr>
        <w:t>；</w:t>
      </w:r>
      <w:r w:rsidR="0030215D" w:rsidRPr="008C1932">
        <w:rPr>
          <w:rFonts w:ascii="標楷體" w:eastAsia="標楷體" w:hAnsi="標楷體" w:hint="eastAsia"/>
          <w:color w:val="000000"/>
          <w:sz w:val="32"/>
        </w:rPr>
        <w:t>再次為南韓航線159萬人次，大增35.3%，前3大主要國家(地區)航線</w:t>
      </w:r>
      <w:r w:rsidR="0030215D">
        <w:rPr>
          <w:rFonts w:ascii="標楷體" w:eastAsia="標楷體" w:hAnsi="標楷體" w:hint="eastAsia"/>
          <w:color w:val="000000"/>
          <w:sz w:val="32"/>
        </w:rPr>
        <w:t>載客</w:t>
      </w:r>
      <w:proofErr w:type="gramStart"/>
      <w:r w:rsidR="0030215D">
        <w:rPr>
          <w:rFonts w:ascii="標楷體" w:eastAsia="標楷體" w:hAnsi="標楷體" w:hint="eastAsia"/>
          <w:color w:val="000000"/>
          <w:sz w:val="32"/>
        </w:rPr>
        <w:t>人次</w:t>
      </w:r>
      <w:r w:rsidR="0030215D" w:rsidRPr="008C1932">
        <w:rPr>
          <w:rFonts w:ascii="標楷體" w:eastAsia="標楷體" w:hAnsi="標楷體" w:hint="eastAsia"/>
          <w:color w:val="000000"/>
          <w:sz w:val="32"/>
        </w:rPr>
        <w:t>皆</w:t>
      </w:r>
      <w:r w:rsidR="0030215D">
        <w:rPr>
          <w:rFonts w:ascii="標楷體" w:eastAsia="標楷體" w:hAnsi="標楷體" w:hint="eastAsia"/>
          <w:color w:val="000000"/>
          <w:sz w:val="32"/>
        </w:rPr>
        <w:t>破百萬人次</w:t>
      </w:r>
      <w:proofErr w:type="gramEnd"/>
      <w:r w:rsidR="0030215D">
        <w:rPr>
          <w:rFonts w:ascii="標楷體" w:eastAsia="標楷體" w:hAnsi="標楷體" w:hint="eastAsia"/>
          <w:color w:val="000000"/>
          <w:sz w:val="32"/>
        </w:rPr>
        <w:t>，</w:t>
      </w:r>
      <w:r w:rsidR="0030215D" w:rsidRPr="008C1932">
        <w:rPr>
          <w:rFonts w:ascii="標楷體" w:eastAsia="標楷體" w:hAnsi="標楷體" w:hint="eastAsia"/>
          <w:color w:val="000000"/>
          <w:sz w:val="32"/>
        </w:rPr>
        <w:t>創歷年同期新高，</w:t>
      </w:r>
      <w:r w:rsidR="0030215D">
        <w:rPr>
          <w:rFonts w:ascii="標楷體" w:eastAsia="標楷體" w:hAnsi="標楷體" w:hint="eastAsia"/>
          <w:color w:val="000000"/>
          <w:sz w:val="32"/>
        </w:rPr>
        <w:t>充分</w:t>
      </w:r>
      <w:r w:rsidR="0030215D" w:rsidRPr="008C1932">
        <w:rPr>
          <w:rFonts w:ascii="標楷體" w:eastAsia="標楷體" w:hAnsi="標楷體" w:hint="eastAsia"/>
          <w:color w:val="000000"/>
          <w:sz w:val="32"/>
        </w:rPr>
        <w:t>展現</w:t>
      </w:r>
      <w:r w:rsidR="0030215D">
        <w:rPr>
          <w:rFonts w:ascii="標楷體" w:eastAsia="標楷體" w:hAnsi="標楷體" w:hint="eastAsia"/>
          <w:color w:val="000000"/>
          <w:sz w:val="32"/>
        </w:rPr>
        <w:t>觀光帶動</w:t>
      </w:r>
      <w:r w:rsidR="0030215D" w:rsidRPr="008C1932">
        <w:rPr>
          <w:rFonts w:ascii="標楷體" w:eastAsia="標楷體" w:hAnsi="標楷體" w:hint="eastAsia"/>
          <w:color w:val="000000"/>
          <w:sz w:val="32"/>
        </w:rPr>
        <w:t>我國航空客運業發展之榮景</w:t>
      </w:r>
      <w:r w:rsidR="00965698" w:rsidRPr="001727C7">
        <w:rPr>
          <w:rFonts w:ascii="標楷體" w:eastAsia="標楷體" w:hAnsi="標楷體" w:hint="eastAsia"/>
          <w:color w:val="000000"/>
          <w:sz w:val="32"/>
        </w:rPr>
        <w:t>。</w:t>
      </w:r>
    </w:p>
    <w:p w:rsidR="000E3DB3" w:rsidRPr="000E3DB3" w:rsidRDefault="0030215D" w:rsidP="00FE1A07">
      <w:pPr>
        <w:snapToGrid w:val="0"/>
        <w:spacing w:beforeLines="20" w:before="72" w:line="480" w:lineRule="exact"/>
        <w:ind w:left="38" w:rightChars="58" w:right="139" w:hangingChars="12" w:hanging="38"/>
        <w:jc w:val="center"/>
        <w:rPr>
          <w:color w:val="000000"/>
        </w:rPr>
      </w:pPr>
      <w:r w:rsidRPr="00FE1A07">
        <w:rPr>
          <w:rFonts w:ascii="標楷體" w:eastAsia="標楷體" w:hAnsi="標楷體" w:hint="eastAsia"/>
          <w:sz w:val="32"/>
          <w:szCs w:val="32"/>
        </w:rPr>
        <w:t>近6年1-6月我國主要機場進出旅客人數</w:t>
      </w:r>
    </w:p>
    <w:p w:rsidR="000E3DB3" w:rsidRDefault="00B20749">
      <w:pPr>
        <w:widowControl/>
        <w:rPr>
          <w:rFonts w:ascii="標楷體" w:eastAsia="標楷體" w:hAnsi="標楷體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809792" behindDoc="0" locked="0" layoutInCell="1" allowOverlap="1" wp14:anchorId="397E5C9B" wp14:editId="3FB38B50">
            <wp:simplePos x="0" y="0"/>
            <wp:positionH relativeFrom="column">
              <wp:posOffset>-20955</wp:posOffset>
            </wp:positionH>
            <wp:positionV relativeFrom="paragraph">
              <wp:posOffset>99695</wp:posOffset>
            </wp:positionV>
            <wp:extent cx="5434642" cy="2579298"/>
            <wp:effectExtent l="19050" t="19050" r="13970" b="12065"/>
            <wp:wrapNone/>
            <wp:docPr id="12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3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DATA及原圖!$A$26:$L$46" spid="_x0000_s4304"/>
                        </a:ext>
                      </a:extLst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" t="4880" r="2716" b="5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642" cy="2579298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DB3">
        <w:rPr>
          <w:rFonts w:ascii="標楷體" w:eastAsia="標楷體" w:hAnsi="標楷體"/>
          <w:b/>
          <w:bCs/>
          <w:sz w:val="36"/>
          <w:szCs w:val="36"/>
        </w:rPr>
        <w:br w:type="page"/>
      </w:r>
    </w:p>
    <w:p w:rsidR="001616D2" w:rsidRPr="00AA39F9" w:rsidRDefault="002A7AEF" w:rsidP="00531F63">
      <w:pPr>
        <w:snapToGrid w:val="0"/>
        <w:spacing w:afterLines="50" w:after="180" w:line="400" w:lineRule="exact"/>
        <w:ind w:left="757" w:hangingChars="210" w:hanging="757"/>
        <w:rPr>
          <w:rFonts w:ascii="Arial" w:eastAsia="標楷體" w:hAnsi="Arial" w:cs="Arial"/>
          <w:sz w:val="28"/>
        </w:rPr>
      </w:pPr>
      <w:r w:rsidRPr="001E4C13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六</w:t>
      </w:r>
      <w:r w:rsidR="00987CD7" w:rsidRPr="00AA39F9">
        <w:rPr>
          <w:rFonts w:ascii="標楷體" w:eastAsia="標楷體" w:hAnsi="標楷體" w:hint="eastAsia"/>
          <w:b/>
          <w:bCs/>
          <w:sz w:val="36"/>
          <w:szCs w:val="36"/>
        </w:rPr>
        <w:t>、</w:t>
      </w:r>
      <w:r w:rsidR="00BE625E" w:rsidRPr="00BE625E">
        <w:rPr>
          <w:rFonts w:ascii="Arial" w:eastAsia="標楷體" w:hAnsi="Arial" w:cs="Arial" w:hint="eastAsia"/>
          <w:b/>
          <w:bCs/>
          <w:spacing w:val="15"/>
          <w:sz w:val="36"/>
          <w:szCs w:val="33"/>
          <w:shd w:val="clear" w:color="auto" w:fill="FFFFFF"/>
        </w:rPr>
        <w:t>東南亞來</w:t>
      </w:r>
      <w:proofErr w:type="gramStart"/>
      <w:r w:rsidR="00BE625E" w:rsidRPr="00BE625E">
        <w:rPr>
          <w:rFonts w:ascii="Arial" w:eastAsia="標楷體" w:hAnsi="Arial" w:cs="Arial" w:hint="eastAsia"/>
          <w:b/>
          <w:bCs/>
          <w:spacing w:val="15"/>
          <w:sz w:val="36"/>
          <w:szCs w:val="33"/>
          <w:shd w:val="clear" w:color="auto" w:fill="FFFFFF"/>
        </w:rPr>
        <w:t>臺</w:t>
      </w:r>
      <w:proofErr w:type="gramEnd"/>
      <w:r w:rsidR="00BE625E" w:rsidRPr="00BE625E">
        <w:rPr>
          <w:rFonts w:ascii="Arial" w:eastAsia="標楷體" w:hAnsi="Arial" w:cs="Arial" w:hint="eastAsia"/>
          <w:b/>
          <w:bCs/>
          <w:spacing w:val="15"/>
          <w:sz w:val="36"/>
          <w:szCs w:val="33"/>
          <w:shd w:val="clear" w:color="auto" w:fill="FFFFFF"/>
        </w:rPr>
        <w:t>旅客人數成長快速</w:t>
      </w:r>
    </w:p>
    <w:p w:rsidR="00BE625E" w:rsidRPr="000A6083" w:rsidRDefault="00BE625E" w:rsidP="00BE625E">
      <w:pPr>
        <w:spacing w:beforeLines="40" w:before="144" w:line="480" w:lineRule="exact"/>
        <w:ind w:leftChars="59" w:left="142" w:rightChars="94" w:right="226" w:firstLineChars="177" w:firstLine="566"/>
        <w:jc w:val="both"/>
        <w:rPr>
          <w:rFonts w:ascii="標楷體" w:eastAsia="標楷體" w:hAnsi="標楷體" w:cs="Arial"/>
          <w:color w:val="000000"/>
          <w:sz w:val="32"/>
        </w:rPr>
      </w:pPr>
      <w:r w:rsidRPr="00C951DF">
        <w:rPr>
          <w:rFonts w:ascii="標楷體" w:eastAsia="標楷體" w:hAnsi="標楷體" w:cs="Arial"/>
          <w:color w:val="000000"/>
          <w:sz w:val="32"/>
        </w:rPr>
        <w:t>10</w:t>
      </w:r>
      <w:r w:rsidRPr="00C951DF">
        <w:rPr>
          <w:rFonts w:ascii="標楷體" w:eastAsia="標楷體" w:hAnsi="標楷體" w:cs="Arial" w:hint="eastAsia"/>
          <w:color w:val="000000"/>
          <w:sz w:val="32"/>
        </w:rPr>
        <w:t>5</w:t>
      </w:r>
      <w:r w:rsidRPr="00C951DF">
        <w:rPr>
          <w:rFonts w:ascii="標楷體" w:eastAsia="標楷體" w:hAnsi="標楷體" w:cs="Arial"/>
          <w:color w:val="000000"/>
          <w:sz w:val="32"/>
        </w:rPr>
        <w:t>年</w:t>
      </w:r>
      <w:r>
        <w:rPr>
          <w:rFonts w:ascii="標楷體" w:eastAsia="標楷體" w:hAnsi="標楷體" w:cs="Arial" w:hint="eastAsia"/>
          <w:color w:val="000000"/>
          <w:sz w:val="32"/>
        </w:rPr>
        <w:t>1-6月</w:t>
      </w:r>
      <w:r w:rsidRPr="00C951DF">
        <w:rPr>
          <w:rFonts w:ascii="標楷體" w:eastAsia="標楷體" w:hAnsi="標楷體" w:cs="Arial"/>
          <w:color w:val="000000"/>
          <w:sz w:val="32"/>
        </w:rPr>
        <w:t>來</w:t>
      </w:r>
      <w:proofErr w:type="gramStart"/>
      <w:r w:rsidRPr="00C951DF">
        <w:rPr>
          <w:rFonts w:ascii="標楷體" w:eastAsia="標楷體" w:hAnsi="標楷體" w:cs="Arial"/>
          <w:color w:val="000000"/>
          <w:sz w:val="32"/>
        </w:rPr>
        <w:t>臺</w:t>
      </w:r>
      <w:proofErr w:type="gramEnd"/>
      <w:r w:rsidRPr="00C951DF">
        <w:rPr>
          <w:rFonts w:ascii="標楷體" w:eastAsia="標楷體" w:hAnsi="標楷體" w:cs="Arial"/>
          <w:color w:val="000000"/>
          <w:sz w:val="32"/>
        </w:rPr>
        <w:t>旅客</w:t>
      </w:r>
      <w:r w:rsidRPr="00C951DF">
        <w:rPr>
          <w:rFonts w:ascii="標楷體" w:eastAsia="標楷體" w:hAnsi="標楷體" w:cs="Arial" w:hint="eastAsia"/>
          <w:color w:val="000000"/>
          <w:sz w:val="32"/>
        </w:rPr>
        <w:t>543</w:t>
      </w:r>
      <w:r w:rsidRPr="00C951DF">
        <w:rPr>
          <w:rFonts w:ascii="標楷體" w:eastAsia="標楷體" w:hAnsi="標楷體" w:cs="Arial"/>
          <w:color w:val="000000"/>
          <w:sz w:val="32"/>
        </w:rPr>
        <w:t>萬人次</w:t>
      </w:r>
      <w:r w:rsidRPr="00C951DF">
        <w:rPr>
          <w:rFonts w:ascii="標楷體" w:eastAsia="標楷體" w:hAnsi="標楷體" w:cs="Arial" w:hint="eastAsia"/>
          <w:color w:val="000000"/>
          <w:sz w:val="32"/>
        </w:rPr>
        <w:t>，較</w:t>
      </w:r>
      <w:r>
        <w:rPr>
          <w:rFonts w:ascii="標楷體" w:eastAsia="標楷體" w:hAnsi="標楷體" w:cs="Arial" w:hint="eastAsia"/>
          <w:color w:val="000000"/>
          <w:sz w:val="32"/>
        </w:rPr>
        <w:t>上</w:t>
      </w:r>
      <w:r w:rsidRPr="00C951DF">
        <w:rPr>
          <w:rFonts w:ascii="標楷體" w:eastAsia="標楷體" w:hAnsi="標楷體" w:cs="Arial" w:hint="eastAsia"/>
          <w:color w:val="000000"/>
          <w:sz w:val="32"/>
        </w:rPr>
        <w:t>年同期增加44</w:t>
      </w:r>
      <w:r w:rsidRPr="00C951DF">
        <w:rPr>
          <w:rFonts w:ascii="標楷體" w:eastAsia="標楷體" w:hAnsi="標楷體" w:cs="Arial"/>
          <w:color w:val="000000"/>
          <w:sz w:val="32"/>
        </w:rPr>
        <w:t>.</w:t>
      </w:r>
      <w:r w:rsidRPr="00C951DF">
        <w:rPr>
          <w:rFonts w:ascii="標楷體" w:eastAsia="標楷體" w:hAnsi="標楷體" w:cs="Arial" w:hint="eastAsia"/>
          <w:color w:val="000000"/>
          <w:sz w:val="32"/>
        </w:rPr>
        <w:t>6萬人次</w:t>
      </w:r>
      <w:r w:rsidRPr="00C951DF">
        <w:rPr>
          <w:rFonts w:ascii="標楷體" w:eastAsia="標楷體" w:hAnsi="標楷體" w:cs="Arial"/>
          <w:color w:val="000000"/>
          <w:sz w:val="32"/>
        </w:rPr>
        <w:t>，成長</w:t>
      </w:r>
      <w:r w:rsidRPr="00C951DF">
        <w:rPr>
          <w:rFonts w:ascii="標楷體" w:eastAsia="標楷體" w:hAnsi="標楷體" w:cs="Arial" w:hint="eastAsia"/>
          <w:color w:val="000000"/>
          <w:sz w:val="32"/>
        </w:rPr>
        <w:t>8</w:t>
      </w:r>
      <w:r w:rsidRPr="00C951DF">
        <w:rPr>
          <w:rFonts w:ascii="標楷體" w:eastAsia="標楷體" w:hAnsi="標楷體" w:cs="Arial"/>
          <w:color w:val="000000"/>
          <w:sz w:val="32"/>
        </w:rPr>
        <w:t>.</w:t>
      </w:r>
      <w:r w:rsidRPr="00C951DF">
        <w:rPr>
          <w:rFonts w:ascii="標楷體" w:eastAsia="標楷體" w:hAnsi="標楷體" w:cs="Arial" w:hint="eastAsia"/>
          <w:color w:val="000000"/>
          <w:sz w:val="32"/>
        </w:rPr>
        <w:t>9</w:t>
      </w:r>
      <w:r w:rsidRPr="00C951DF">
        <w:rPr>
          <w:rFonts w:ascii="標楷體" w:eastAsia="標楷體" w:hAnsi="標楷體" w:cs="Arial"/>
          <w:color w:val="000000"/>
          <w:sz w:val="32"/>
        </w:rPr>
        <w:t>%，續創歷年同期新高，</w:t>
      </w:r>
      <w:r w:rsidRPr="00C951DF">
        <w:rPr>
          <w:rFonts w:ascii="標楷體" w:eastAsia="標楷體" w:hAnsi="標楷體" w:cs="Arial" w:hint="eastAsia"/>
          <w:color w:val="000000"/>
          <w:sz w:val="32"/>
        </w:rPr>
        <w:t>其中以</w:t>
      </w:r>
      <w:r w:rsidRPr="00C951DF">
        <w:rPr>
          <w:rFonts w:ascii="標楷體" w:eastAsia="標楷體" w:hAnsi="標楷體" w:cs="Arial"/>
          <w:color w:val="000000"/>
          <w:sz w:val="32"/>
        </w:rPr>
        <w:t>觀光</w:t>
      </w:r>
      <w:r w:rsidRPr="00C951DF">
        <w:rPr>
          <w:rFonts w:ascii="標楷體" w:eastAsia="標楷體" w:hAnsi="標楷體" w:cs="Arial" w:hint="eastAsia"/>
          <w:color w:val="000000"/>
          <w:sz w:val="32"/>
        </w:rPr>
        <w:t>之</w:t>
      </w:r>
      <w:r w:rsidRPr="00C951DF">
        <w:rPr>
          <w:rFonts w:ascii="標楷體" w:eastAsia="標楷體" w:hAnsi="標楷體" w:cs="Arial"/>
          <w:color w:val="000000"/>
          <w:sz w:val="32"/>
        </w:rPr>
        <w:t>人數占比7</w:t>
      </w:r>
      <w:r w:rsidRPr="00C951DF">
        <w:rPr>
          <w:rFonts w:ascii="標楷體" w:eastAsia="標楷體" w:hAnsi="標楷體" w:cs="Arial" w:hint="eastAsia"/>
          <w:color w:val="000000"/>
          <w:sz w:val="32"/>
        </w:rPr>
        <w:t>1</w:t>
      </w:r>
      <w:r w:rsidRPr="00C951DF">
        <w:rPr>
          <w:rFonts w:ascii="標楷體" w:eastAsia="標楷體" w:hAnsi="標楷體" w:cs="Arial"/>
          <w:color w:val="000000"/>
          <w:sz w:val="32"/>
        </w:rPr>
        <w:t>.</w:t>
      </w:r>
      <w:r w:rsidRPr="00C951DF">
        <w:rPr>
          <w:rFonts w:ascii="標楷體" w:eastAsia="標楷體" w:hAnsi="標楷體" w:cs="Arial" w:hint="eastAsia"/>
          <w:color w:val="000000"/>
          <w:sz w:val="32"/>
        </w:rPr>
        <w:t>5</w:t>
      </w:r>
      <w:r w:rsidRPr="00C951DF">
        <w:rPr>
          <w:rFonts w:ascii="標楷體" w:eastAsia="標楷體" w:hAnsi="標楷體" w:cs="Arial"/>
          <w:color w:val="000000"/>
          <w:sz w:val="32"/>
        </w:rPr>
        <w:t>%</w:t>
      </w:r>
      <w:r>
        <w:rPr>
          <w:rFonts w:ascii="標楷體" w:eastAsia="標楷體" w:hAnsi="標楷體" w:cs="Arial" w:hint="eastAsia"/>
          <w:color w:val="000000"/>
          <w:sz w:val="32"/>
        </w:rPr>
        <w:t>最多</w:t>
      </w:r>
      <w:r w:rsidRPr="00C951DF">
        <w:rPr>
          <w:rFonts w:ascii="標楷體" w:eastAsia="標楷體" w:hAnsi="標楷體" w:cs="Arial"/>
          <w:color w:val="000000"/>
          <w:sz w:val="32"/>
        </w:rPr>
        <w:t>。</w:t>
      </w:r>
      <w:proofErr w:type="gramStart"/>
      <w:r>
        <w:rPr>
          <w:rFonts w:ascii="標楷體" w:eastAsia="標楷體" w:hAnsi="標楷體" w:cs="Arial" w:hint="eastAsia"/>
          <w:color w:val="000000"/>
          <w:sz w:val="32"/>
        </w:rPr>
        <w:t>另</w:t>
      </w:r>
      <w:r w:rsidRPr="000A6083">
        <w:rPr>
          <w:rFonts w:ascii="標楷體" w:eastAsia="標楷體" w:hAnsi="標楷體" w:cs="Arial" w:hint="eastAsia"/>
          <w:color w:val="000000"/>
          <w:sz w:val="32"/>
        </w:rPr>
        <w:t>隨來臺</w:t>
      </w:r>
      <w:proofErr w:type="gramEnd"/>
      <w:r w:rsidRPr="000A6083">
        <w:rPr>
          <w:rFonts w:ascii="標楷體" w:eastAsia="標楷體" w:hAnsi="標楷體" w:cs="Arial" w:hint="eastAsia"/>
          <w:color w:val="000000"/>
          <w:sz w:val="32"/>
        </w:rPr>
        <w:t>旅客持續增加，</w:t>
      </w:r>
      <w:r>
        <w:rPr>
          <w:rFonts w:ascii="標楷體" w:eastAsia="標楷體" w:hAnsi="標楷體" w:cs="Arial" w:hint="eastAsia"/>
          <w:color w:val="000000"/>
          <w:sz w:val="32"/>
        </w:rPr>
        <w:t>今年第1季旅行</w:t>
      </w:r>
      <w:r w:rsidRPr="000A6083">
        <w:rPr>
          <w:rFonts w:ascii="標楷體" w:eastAsia="標楷體" w:hAnsi="標楷體" w:cs="Arial"/>
          <w:color w:val="000000"/>
          <w:sz w:val="32"/>
        </w:rPr>
        <w:t>外匯收入</w:t>
      </w:r>
      <w:r>
        <w:rPr>
          <w:rFonts w:ascii="標楷體" w:eastAsia="標楷體" w:hAnsi="標楷體" w:cs="Arial" w:hint="eastAsia"/>
          <w:color w:val="000000"/>
          <w:sz w:val="32"/>
        </w:rPr>
        <w:t>預估為36.6億美元，較上年同期成長5.4%</w:t>
      </w:r>
      <w:r w:rsidRPr="000A6083">
        <w:rPr>
          <w:rFonts w:ascii="標楷體" w:eastAsia="標楷體" w:hAnsi="標楷體" w:cs="Arial"/>
          <w:color w:val="000000"/>
          <w:sz w:val="32"/>
        </w:rPr>
        <w:t>。</w:t>
      </w:r>
    </w:p>
    <w:p w:rsidR="00BE625E" w:rsidRDefault="00BE625E" w:rsidP="00BE625E">
      <w:pPr>
        <w:snapToGrid w:val="0"/>
        <w:spacing w:beforeLines="40" w:before="144" w:line="480" w:lineRule="exact"/>
        <w:ind w:leftChars="17" w:left="41" w:rightChars="58" w:right="139" w:firstLineChars="200" w:firstLine="640"/>
        <w:jc w:val="both"/>
        <w:rPr>
          <w:rFonts w:ascii="標楷體" w:eastAsia="標楷體" w:hAnsi="標楷體" w:cs="Arial"/>
          <w:color w:val="000000"/>
          <w:sz w:val="32"/>
        </w:rPr>
      </w:pPr>
      <w:r w:rsidRPr="004761E5">
        <w:rPr>
          <w:rFonts w:ascii="標楷體" w:eastAsia="標楷體" w:hAnsi="標楷體" w:cs="Arial"/>
          <w:color w:val="000000"/>
          <w:sz w:val="32"/>
        </w:rPr>
        <w:t>觀察</w:t>
      </w:r>
      <w:r>
        <w:rPr>
          <w:rFonts w:ascii="標楷體" w:eastAsia="標楷體" w:hAnsi="標楷體" w:cs="Arial" w:hint="eastAsia"/>
          <w:color w:val="000000"/>
          <w:sz w:val="32"/>
        </w:rPr>
        <w:t>主要</w:t>
      </w:r>
      <w:r w:rsidRPr="004761E5">
        <w:rPr>
          <w:rFonts w:ascii="標楷體" w:eastAsia="標楷體" w:hAnsi="標楷體" w:cs="Arial"/>
          <w:color w:val="000000"/>
          <w:sz w:val="32"/>
        </w:rPr>
        <w:t>客源市場，</w:t>
      </w:r>
      <w:r>
        <w:rPr>
          <w:rFonts w:ascii="標楷體" w:eastAsia="標楷體" w:hAnsi="標楷體" w:cs="Arial" w:hint="eastAsia"/>
          <w:color w:val="000000"/>
          <w:sz w:val="32"/>
        </w:rPr>
        <w:t>1-6月</w:t>
      </w:r>
      <w:r w:rsidRPr="004761E5">
        <w:rPr>
          <w:rFonts w:ascii="標楷體" w:eastAsia="標楷體" w:hAnsi="標楷體" w:cs="Arial"/>
          <w:color w:val="000000"/>
          <w:sz w:val="32"/>
        </w:rPr>
        <w:t>以中國大陸</w:t>
      </w:r>
      <w:r>
        <w:rPr>
          <w:rFonts w:ascii="標楷體" w:eastAsia="標楷體" w:hAnsi="標楷體" w:cs="Arial" w:hint="eastAsia"/>
          <w:color w:val="000000"/>
          <w:sz w:val="32"/>
        </w:rPr>
        <w:t>旅客211</w:t>
      </w:r>
      <w:r w:rsidRPr="004761E5">
        <w:rPr>
          <w:rFonts w:ascii="標楷體" w:eastAsia="標楷體" w:hAnsi="標楷體" w:cs="Arial"/>
          <w:color w:val="000000"/>
          <w:sz w:val="32"/>
        </w:rPr>
        <w:t>萬人次居首</w:t>
      </w:r>
      <w:r w:rsidRPr="009C6C90">
        <w:rPr>
          <w:rFonts w:ascii="標楷體" w:eastAsia="標楷體" w:hAnsi="標楷體" w:cs="Arial"/>
          <w:color w:val="000000"/>
          <w:sz w:val="32"/>
        </w:rPr>
        <w:t>位</w:t>
      </w:r>
      <w:r>
        <w:rPr>
          <w:rFonts w:ascii="標楷體" w:eastAsia="標楷體" w:hAnsi="標楷體" w:cs="Arial" w:hint="eastAsia"/>
          <w:color w:val="000000"/>
          <w:sz w:val="32"/>
        </w:rPr>
        <w:t>，</w:t>
      </w:r>
      <w:r w:rsidRPr="009C6C90">
        <w:rPr>
          <w:rFonts w:ascii="標楷體" w:eastAsia="標楷體" w:hAnsi="標楷體" w:cs="Arial" w:hint="eastAsia"/>
          <w:color w:val="000000"/>
          <w:sz w:val="32"/>
        </w:rPr>
        <w:t>較上年同期</w:t>
      </w:r>
      <w:r>
        <w:rPr>
          <w:rFonts w:ascii="標楷體" w:eastAsia="標楷體" w:hAnsi="標楷體" w:cs="Arial" w:hint="eastAsia"/>
          <w:color w:val="000000"/>
          <w:sz w:val="32"/>
        </w:rPr>
        <w:t>增加</w:t>
      </w:r>
      <w:r w:rsidRPr="009C6C90">
        <w:rPr>
          <w:rFonts w:ascii="標楷體" w:eastAsia="標楷體" w:hAnsi="標楷體" w:cs="Arial" w:hint="eastAsia"/>
          <w:color w:val="000000"/>
          <w:sz w:val="32"/>
        </w:rPr>
        <w:t>3.1%</w:t>
      </w:r>
      <w:r>
        <w:rPr>
          <w:rFonts w:ascii="標楷體" w:eastAsia="標楷體" w:hAnsi="標楷體" w:cs="Arial" w:hint="eastAsia"/>
          <w:color w:val="000000"/>
          <w:sz w:val="32"/>
        </w:rPr>
        <w:t>，惟5、6月連續2個月呈二位數負成長，分別減12.2%及11.9%，該地客源變化需持續關注。其次為</w:t>
      </w:r>
      <w:r w:rsidRPr="009C6C90">
        <w:rPr>
          <w:rFonts w:ascii="標楷體" w:eastAsia="標楷體" w:hAnsi="標楷體" w:cs="Arial"/>
          <w:color w:val="000000"/>
          <w:sz w:val="32"/>
        </w:rPr>
        <w:t>日本</w:t>
      </w:r>
      <w:r>
        <w:rPr>
          <w:rFonts w:ascii="標楷體" w:eastAsia="標楷體" w:hAnsi="標楷體" w:cs="Arial" w:hint="eastAsia"/>
          <w:color w:val="000000"/>
          <w:sz w:val="32"/>
        </w:rPr>
        <w:t>旅客</w:t>
      </w:r>
      <w:r w:rsidRPr="009C6C90">
        <w:rPr>
          <w:rFonts w:ascii="標楷體" w:eastAsia="標楷體" w:hAnsi="標楷體" w:cs="Arial" w:hint="eastAsia"/>
          <w:color w:val="000000"/>
          <w:sz w:val="32"/>
        </w:rPr>
        <w:t>88</w:t>
      </w:r>
      <w:r w:rsidRPr="009C6C90">
        <w:rPr>
          <w:rFonts w:ascii="標楷體" w:eastAsia="標楷體" w:hAnsi="標楷體" w:cs="Arial"/>
          <w:color w:val="000000"/>
          <w:sz w:val="32"/>
        </w:rPr>
        <w:t>萬人次(</w:t>
      </w:r>
      <w:r w:rsidRPr="009C6C90">
        <w:rPr>
          <w:rFonts w:ascii="標楷體" w:eastAsia="標楷體" w:hAnsi="標楷體" w:cs="Arial" w:hint="eastAsia"/>
          <w:color w:val="000000"/>
          <w:sz w:val="32"/>
        </w:rPr>
        <w:t>+17</w:t>
      </w:r>
      <w:r w:rsidRPr="009C6C90">
        <w:rPr>
          <w:rFonts w:ascii="標楷體" w:eastAsia="標楷體" w:hAnsi="標楷體" w:cs="Arial"/>
          <w:color w:val="000000"/>
          <w:sz w:val="32"/>
        </w:rPr>
        <w:t>.</w:t>
      </w:r>
      <w:r w:rsidRPr="009C6C90">
        <w:rPr>
          <w:rFonts w:ascii="標楷體" w:eastAsia="標楷體" w:hAnsi="標楷體" w:cs="Arial" w:hint="eastAsia"/>
          <w:color w:val="000000"/>
          <w:sz w:val="32"/>
        </w:rPr>
        <w:t>9</w:t>
      </w:r>
      <w:r w:rsidRPr="009C6C90">
        <w:rPr>
          <w:rFonts w:ascii="標楷體" w:eastAsia="標楷體" w:hAnsi="標楷體" w:cs="Arial"/>
          <w:color w:val="000000"/>
          <w:sz w:val="32"/>
        </w:rPr>
        <w:t>%)</w:t>
      </w:r>
      <w:r w:rsidRPr="009C6C90">
        <w:rPr>
          <w:rFonts w:ascii="標楷體" w:eastAsia="標楷體" w:hAnsi="標楷體" w:cs="Arial" w:hint="eastAsia"/>
          <w:color w:val="000000"/>
          <w:sz w:val="32"/>
        </w:rPr>
        <w:t>，</w:t>
      </w:r>
      <w:r w:rsidRPr="009C6C90">
        <w:rPr>
          <w:rFonts w:ascii="標楷體" w:eastAsia="標楷體" w:hAnsi="標楷體" w:cs="Arial"/>
          <w:color w:val="000000"/>
          <w:sz w:val="32"/>
        </w:rPr>
        <w:t>港澳</w:t>
      </w:r>
      <w:r>
        <w:rPr>
          <w:rFonts w:ascii="標楷體" w:eastAsia="標楷體" w:hAnsi="標楷體" w:cs="Arial" w:hint="eastAsia"/>
          <w:color w:val="000000"/>
          <w:sz w:val="32"/>
        </w:rPr>
        <w:t>旅客</w:t>
      </w:r>
      <w:r w:rsidRPr="009C6C90">
        <w:rPr>
          <w:rFonts w:ascii="標楷體" w:eastAsia="標楷體" w:hAnsi="標楷體" w:cs="Arial" w:hint="eastAsia"/>
          <w:color w:val="000000"/>
          <w:sz w:val="32"/>
        </w:rPr>
        <w:t>75</w:t>
      </w:r>
      <w:r w:rsidRPr="009C6C90">
        <w:rPr>
          <w:rFonts w:ascii="標楷體" w:eastAsia="標楷體" w:hAnsi="標楷體" w:cs="Arial"/>
          <w:color w:val="000000"/>
          <w:sz w:val="32"/>
        </w:rPr>
        <w:t>萬人次</w:t>
      </w:r>
      <w:r w:rsidRPr="009C6C90">
        <w:rPr>
          <w:rFonts w:ascii="標楷體" w:eastAsia="標楷體" w:hAnsi="標楷體" w:cs="Arial" w:hint="eastAsia"/>
          <w:color w:val="000000"/>
          <w:sz w:val="32"/>
        </w:rPr>
        <w:t>(+8</w:t>
      </w:r>
      <w:r w:rsidRPr="009C6C90">
        <w:rPr>
          <w:rFonts w:ascii="標楷體" w:eastAsia="標楷體" w:hAnsi="標楷體" w:cs="Arial"/>
          <w:color w:val="000000"/>
          <w:sz w:val="32"/>
        </w:rPr>
        <w:t>.</w:t>
      </w:r>
      <w:r w:rsidRPr="009C6C90">
        <w:rPr>
          <w:rFonts w:ascii="標楷體" w:eastAsia="標楷體" w:hAnsi="標楷體" w:cs="Arial" w:hint="eastAsia"/>
          <w:color w:val="000000"/>
          <w:sz w:val="32"/>
        </w:rPr>
        <w:t>0</w:t>
      </w:r>
      <w:r w:rsidRPr="009C6C90">
        <w:rPr>
          <w:rFonts w:ascii="標楷體" w:eastAsia="標楷體" w:hAnsi="標楷體" w:cs="Arial"/>
          <w:color w:val="000000"/>
          <w:sz w:val="32"/>
        </w:rPr>
        <w:t>%</w:t>
      </w:r>
      <w:r w:rsidRPr="009C6C90">
        <w:rPr>
          <w:rFonts w:ascii="標楷體" w:eastAsia="標楷體" w:hAnsi="標楷體" w:cs="Arial" w:hint="eastAsia"/>
          <w:color w:val="000000"/>
          <w:sz w:val="32"/>
        </w:rPr>
        <w:t>)</w:t>
      </w:r>
      <w:r>
        <w:rPr>
          <w:rFonts w:ascii="標楷體" w:eastAsia="標楷體" w:hAnsi="標楷體" w:cs="Arial" w:hint="eastAsia"/>
          <w:color w:val="000000"/>
          <w:sz w:val="32"/>
        </w:rPr>
        <w:t>。另1-6月</w:t>
      </w:r>
      <w:r w:rsidRPr="009C6C90">
        <w:rPr>
          <w:rFonts w:ascii="標楷體" w:eastAsia="標楷體" w:hAnsi="標楷體" w:cs="Arial" w:hint="eastAsia"/>
          <w:color w:val="000000"/>
          <w:sz w:val="32"/>
        </w:rPr>
        <w:t>南韓</w:t>
      </w:r>
      <w:r>
        <w:rPr>
          <w:rFonts w:ascii="標楷體" w:eastAsia="標楷體" w:hAnsi="標楷體" w:cs="Arial" w:hint="eastAsia"/>
          <w:color w:val="000000"/>
          <w:sz w:val="32"/>
        </w:rPr>
        <w:t>旅客</w:t>
      </w:r>
      <w:r w:rsidRPr="009C6C90">
        <w:rPr>
          <w:rFonts w:ascii="標楷體" w:eastAsia="標楷體" w:hAnsi="標楷體" w:cs="Arial" w:hint="eastAsia"/>
          <w:color w:val="000000"/>
          <w:sz w:val="32"/>
        </w:rPr>
        <w:t>41萬人次(+25.7%)，</w:t>
      </w:r>
      <w:r>
        <w:rPr>
          <w:rFonts w:ascii="標楷體" w:eastAsia="標楷體" w:hAnsi="標楷體" w:cs="Arial" w:hint="eastAsia"/>
          <w:color w:val="000000"/>
          <w:sz w:val="32"/>
        </w:rPr>
        <w:t>其中6月來</w:t>
      </w:r>
      <w:proofErr w:type="gramStart"/>
      <w:r>
        <w:rPr>
          <w:rFonts w:ascii="標楷體" w:eastAsia="標楷體" w:hAnsi="標楷體" w:cs="Arial" w:hint="eastAsia"/>
          <w:color w:val="000000"/>
          <w:sz w:val="32"/>
        </w:rPr>
        <w:t>臺</w:t>
      </w:r>
      <w:proofErr w:type="gramEnd"/>
      <w:r>
        <w:rPr>
          <w:rFonts w:ascii="標楷體" w:eastAsia="標楷體" w:hAnsi="標楷體" w:cs="Arial" w:hint="eastAsia"/>
          <w:color w:val="000000"/>
          <w:sz w:val="32"/>
        </w:rPr>
        <w:t>人數更較上</w:t>
      </w:r>
      <w:r w:rsidRPr="009C6C90">
        <w:rPr>
          <w:rFonts w:ascii="標楷體" w:eastAsia="標楷體" w:hAnsi="標楷體" w:cs="Arial"/>
          <w:color w:val="000000"/>
          <w:sz w:val="32"/>
        </w:rPr>
        <w:t>年</w:t>
      </w:r>
      <w:r>
        <w:rPr>
          <w:rFonts w:ascii="標楷體" w:eastAsia="標楷體" w:hAnsi="標楷體" w:cs="Arial" w:hint="eastAsia"/>
          <w:color w:val="000000"/>
          <w:sz w:val="32"/>
        </w:rPr>
        <w:t>同月大</w:t>
      </w:r>
      <w:r w:rsidRPr="009C6C90">
        <w:rPr>
          <w:rFonts w:ascii="標楷體" w:eastAsia="標楷體" w:hAnsi="標楷體" w:cs="Arial"/>
          <w:color w:val="000000"/>
          <w:sz w:val="32"/>
        </w:rPr>
        <w:t>增67.</w:t>
      </w:r>
      <w:r>
        <w:rPr>
          <w:rFonts w:ascii="標楷體" w:eastAsia="標楷體" w:hAnsi="標楷體" w:cs="Arial" w:hint="eastAsia"/>
          <w:color w:val="000000"/>
          <w:sz w:val="32"/>
        </w:rPr>
        <w:t>9%，展現多元市場之推動成效。</w:t>
      </w:r>
    </w:p>
    <w:p w:rsidR="000E3DB3" w:rsidRPr="00A31E81" w:rsidRDefault="00BE625E" w:rsidP="00BE625E">
      <w:pPr>
        <w:spacing w:beforeLines="50" w:before="180" w:afterLines="50" w:after="180" w:line="460" w:lineRule="exact"/>
        <w:ind w:leftChars="50" w:left="120" w:rightChars="50" w:right="120" w:firstLineChars="200" w:firstLine="64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cs="Arial" w:hint="eastAsia"/>
          <w:color w:val="000000"/>
          <w:sz w:val="32"/>
        </w:rPr>
        <w:t>在我國推動</w:t>
      </w:r>
      <w:r w:rsidRPr="001B6169">
        <w:rPr>
          <w:rFonts w:ascii="標楷體" w:eastAsia="標楷體" w:hAnsi="標楷體" w:cs="Arial"/>
          <w:color w:val="000000"/>
          <w:sz w:val="32"/>
        </w:rPr>
        <w:t>新南向政策</w:t>
      </w:r>
      <w:r>
        <w:rPr>
          <w:rFonts w:ascii="標楷體" w:eastAsia="標楷體" w:hAnsi="標楷體" w:cs="Arial" w:hint="eastAsia"/>
          <w:color w:val="000000"/>
          <w:sz w:val="32"/>
        </w:rPr>
        <w:t>目標下</w:t>
      </w:r>
      <w:r w:rsidRPr="001B6169">
        <w:rPr>
          <w:rFonts w:ascii="標楷體" w:eastAsia="標楷體" w:hAnsi="標楷體" w:cs="Arial"/>
          <w:color w:val="000000"/>
          <w:sz w:val="32"/>
        </w:rPr>
        <w:t>，</w:t>
      </w:r>
      <w:r>
        <w:rPr>
          <w:rFonts w:ascii="標楷體" w:eastAsia="標楷體" w:hAnsi="標楷體" w:cs="Arial" w:hint="eastAsia"/>
          <w:color w:val="000000"/>
          <w:sz w:val="32"/>
        </w:rPr>
        <w:t>今年上半年</w:t>
      </w:r>
      <w:r w:rsidRPr="00B94108">
        <w:rPr>
          <w:rFonts w:ascii="標楷體" w:eastAsia="標楷體" w:hAnsi="標楷體" w:cs="Arial" w:hint="eastAsia"/>
          <w:color w:val="000000"/>
          <w:sz w:val="32"/>
        </w:rPr>
        <w:t>馬來西亞、新加坡、菲律賓、</w:t>
      </w:r>
      <w:r w:rsidRPr="00B94108">
        <w:rPr>
          <w:rFonts w:ascii="標楷體" w:eastAsia="標楷體" w:hAnsi="標楷體" w:cs="Arial"/>
          <w:color w:val="000000"/>
          <w:sz w:val="32"/>
        </w:rPr>
        <w:t>印尼</w:t>
      </w:r>
      <w:r w:rsidRPr="00B94108">
        <w:rPr>
          <w:rFonts w:ascii="標楷體" w:eastAsia="標楷體" w:hAnsi="標楷體" w:cs="Arial" w:hint="eastAsia"/>
          <w:color w:val="000000"/>
          <w:sz w:val="32"/>
        </w:rPr>
        <w:t>、</w:t>
      </w:r>
      <w:r w:rsidRPr="00B94108">
        <w:rPr>
          <w:rFonts w:ascii="標楷體" w:eastAsia="標楷體" w:hAnsi="標楷體" w:cs="Arial"/>
          <w:color w:val="000000"/>
          <w:sz w:val="32"/>
        </w:rPr>
        <w:t>泰國</w:t>
      </w:r>
      <w:r w:rsidRPr="00B94108">
        <w:rPr>
          <w:rFonts w:ascii="標楷體" w:eastAsia="標楷體" w:hAnsi="標楷體" w:cs="Arial" w:hint="eastAsia"/>
          <w:color w:val="000000"/>
          <w:sz w:val="32"/>
        </w:rPr>
        <w:t>及</w:t>
      </w:r>
      <w:r w:rsidRPr="00B94108">
        <w:rPr>
          <w:rFonts w:ascii="標楷體" w:eastAsia="標楷體" w:hAnsi="標楷體" w:cs="Arial"/>
          <w:color w:val="000000"/>
          <w:sz w:val="32"/>
        </w:rPr>
        <w:t>越南</w:t>
      </w:r>
      <w:r>
        <w:rPr>
          <w:rFonts w:ascii="標楷體" w:eastAsia="標楷體" w:hAnsi="標楷體" w:cs="Arial"/>
          <w:color w:val="000000"/>
          <w:sz w:val="32"/>
        </w:rPr>
        <w:t>等國來</w:t>
      </w:r>
      <w:proofErr w:type="gramStart"/>
      <w:r>
        <w:rPr>
          <w:rFonts w:ascii="標楷體" w:eastAsia="標楷體" w:hAnsi="標楷體" w:cs="Arial" w:hint="eastAsia"/>
          <w:color w:val="000000"/>
          <w:sz w:val="32"/>
        </w:rPr>
        <w:t>臺</w:t>
      </w:r>
      <w:proofErr w:type="gramEnd"/>
      <w:r>
        <w:rPr>
          <w:rFonts w:ascii="標楷體" w:eastAsia="標楷體" w:hAnsi="標楷體" w:cs="Arial"/>
          <w:color w:val="000000"/>
          <w:sz w:val="32"/>
        </w:rPr>
        <w:t>旅客</w:t>
      </w:r>
      <w:r>
        <w:rPr>
          <w:rFonts w:ascii="標楷體" w:eastAsia="標楷體" w:hAnsi="標楷體" w:cs="Arial" w:hint="eastAsia"/>
          <w:color w:val="000000"/>
          <w:sz w:val="32"/>
        </w:rPr>
        <w:t>人數</w:t>
      </w:r>
      <w:r>
        <w:rPr>
          <w:rFonts w:ascii="標楷體" w:eastAsia="標楷體" w:hAnsi="標楷體" w:hint="eastAsia"/>
          <w:kern w:val="0"/>
          <w:sz w:val="32"/>
          <w:szCs w:val="32"/>
        </w:rPr>
        <w:t>皆為歷年1-6月同期最高，其中</w:t>
      </w:r>
      <w:r w:rsidRPr="00B94108">
        <w:rPr>
          <w:rFonts w:ascii="標楷體" w:eastAsia="標楷體" w:hAnsi="標楷體" w:cs="Arial"/>
          <w:color w:val="000000"/>
          <w:sz w:val="32"/>
        </w:rPr>
        <w:t>泰國</w:t>
      </w:r>
      <w:r>
        <w:rPr>
          <w:rFonts w:ascii="標楷體" w:eastAsia="標楷體" w:hAnsi="標楷體" w:cs="Arial" w:hint="eastAsia"/>
          <w:color w:val="000000"/>
          <w:sz w:val="32"/>
        </w:rPr>
        <w:t>、</w:t>
      </w:r>
      <w:r w:rsidRPr="00B94108">
        <w:rPr>
          <w:rFonts w:ascii="標楷體" w:eastAsia="標楷體" w:hAnsi="標楷體" w:cs="Arial"/>
          <w:color w:val="000000"/>
          <w:sz w:val="32"/>
        </w:rPr>
        <w:t>越南</w:t>
      </w:r>
      <w:r>
        <w:rPr>
          <w:rFonts w:ascii="標楷體" w:eastAsia="標楷體" w:hAnsi="標楷體" w:cs="Arial" w:hint="eastAsia"/>
          <w:color w:val="000000"/>
          <w:sz w:val="32"/>
        </w:rPr>
        <w:t>及</w:t>
      </w:r>
      <w:r w:rsidRPr="00B94108">
        <w:rPr>
          <w:rFonts w:ascii="標楷體" w:eastAsia="標楷體" w:hAnsi="標楷體" w:cs="Arial" w:hint="eastAsia"/>
          <w:color w:val="000000"/>
          <w:sz w:val="32"/>
        </w:rPr>
        <w:t>菲律賓</w:t>
      </w:r>
      <w:r>
        <w:rPr>
          <w:rFonts w:ascii="標楷體" w:eastAsia="標楷體" w:hAnsi="標楷體" w:cs="Arial" w:hint="eastAsia"/>
          <w:color w:val="000000"/>
          <w:sz w:val="32"/>
        </w:rPr>
        <w:t>三國來</w:t>
      </w:r>
      <w:proofErr w:type="gramStart"/>
      <w:r>
        <w:rPr>
          <w:rFonts w:ascii="標楷體" w:eastAsia="標楷體" w:hAnsi="標楷體" w:cs="Arial" w:hint="eastAsia"/>
          <w:color w:val="000000"/>
          <w:sz w:val="32"/>
        </w:rPr>
        <w:t>臺</w:t>
      </w:r>
      <w:proofErr w:type="gramEnd"/>
      <w:r>
        <w:rPr>
          <w:rFonts w:ascii="標楷體" w:eastAsia="標楷體" w:hAnsi="標楷體" w:cs="Arial" w:hint="eastAsia"/>
          <w:color w:val="000000"/>
          <w:sz w:val="32"/>
        </w:rPr>
        <w:t>旅客量更呈二位數成長，尤以</w:t>
      </w:r>
      <w:r>
        <w:rPr>
          <w:rFonts w:ascii="標楷體" w:eastAsia="標楷體" w:hAnsi="標楷體" w:cs="Arial"/>
          <w:color w:val="000000"/>
          <w:sz w:val="32"/>
        </w:rPr>
        <w:t>泰國</w:t>
      </w:r>
      <w:r>
        <w:rPr>
          <w:rFonts w:ascii="標楷體" w:eastAsia="標楷體" w:hAnsi="標楷體" w:cs="Arial" w:hint="eastAsia"/>
          <w:color w:val="000000"/>
          <w:sz w:val="32"/>
        </w:rPr>
        <w:t>成長近四成最多，顯示東南亞各國為值得拓展來</w:t>
      </w:r>
      <w:proofErr w:type="gramStart"/>
      <w:r>
        <w:rPr>
          <w:rFonts w:ascii="標楷體" w:eastAsia="標楷體" w:hAnsi="標楷體" w:cs="Arial" w:hint="eastAsia"/>
          <w:color w:val="000000"/>
          <w:sz w:val="32"/>
        </w:rPr>
        <w:t>臺</w:t>
      </w:r>
      <w:proofErr w:type="gramEnd"/>
      <w:r>
        <w:rPr>
          <w:rFonts w:ascii="標楷體" w:eastAsia="標楷體" w:hAnsi="標楷體" w:cs="Arial" w:hint="eastAsia"/>
          <w:color w:val="000000"/>
          <w:sz w:val="32"/>
        </w:rPr>
        <w:t>觀光的潛力市場</w:t>
      </w:r>
      <w:r w:rsidR="000E3DB3" w:rsidRPr="004C0AA9">
        <w:rPr>
          <w:rFonts w:ascii="標楷體" w:eastAsia="標楷體" w:hAnsi="標楷體" w:hint="eastAsia"/>
          <w:spacing w:val="-2"/>
          <w:kern w:val="0"/>
          <w:sz w:val="32"/>
        </w:rPr>
        <w:t>。</w:t>
      </w:r>
    </w:p>
    <w:p w:rsidR="00943BD3" w:rsidRDefault="000343A4" w:rsidP="00FE1A07">
      <w:pPr>
        <w:snapToGrid w:val="0"/>
        <w:spacing w:beforeLines="20" w:before="72" w:line="480" w:lineRule="exact"/>
        <w:ind w:left="38" w:rightChars="58" w:right="139" w:hangingChars="12" w:hanging="38"/>
        <w:jc w:val="center"/>
        <w:rPr>
          <w:rFonts w:ascii="標楷體" w:eastAsia="標楷體" w:hAnsi="標楷體" w:cs="Arial"/>
          <w:noProof/>
          <w:sz w:val="32"/>
        </w:rPr>
      </w:pPr>
      <w:r w:rsidRPr="00FE1A07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7417536" wp14:editId="553A8F61">
                <wp:simplePos x="0" y="0"/>
                <wp:positionH relativeFrom="column">
                  <wp:posOffset>-131445</wp:posOffset>
                </wp:positionH>
                <wp:positionV relativeFrom="paragraph">
                  <wp:posOffset>289560</wp:posOffset>
                </wp:positionV>
                <wp:extent cx="668655" cy="321310"/>
                <wp:effectExtent l="0" t="0" r="0" b="2540"/>
                <wp:wrapNone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25E" w:rsidRPr="000B2445" w:rsidRDefault="00BE625E" w:rsidP="00BE625E">
                            <w:pPr>
                              <w:spacing w:line="160" w:lineRule="exact"/>
                              <w:jc w:val="center"/>
                              <w:rPr>
                                <w:rFonts w:asciiTheme="majorEastAsia" w:eastAsiaTheme="majorEastAsia" w:hAnsiTheme="majorEastAsia" w:cs="Arial"/>
                                <w:sz w:val="18"/>
                                <w:szCs w:val="16"/>
                              </w:rPr>
                            </w:pPr>
                            <w:proofErr w:type="gramStart"/>
                            <w:r w:rsidRPr="000B2445">
                              <w:rPr>
                                <w:rFonts w:asciiTheme="majorEastAsia" w:eastAsiaTheme="majorEastAsia" w:hAnsiTheme="majorEastAsia" w:cs="Arial" w:hint="eastAsia"/>
                                <w:sz w:val="18"/>
                                <w:szCs w:val="16"/>
                              </w:rPr>
                              <w:t>萬人次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" o:spid="_x0000_s1028" type="#_x0000_t202" style="position:absolute;left:0;text-align:left;margin-left:-10.35pt;margin-top:22.8pt;width:52.65pt;height:25.3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" filled="f" stroked="f">
                <v:textbox>
                  <w:txbxContent>
                    <w:p w:rsidR="00BE625E" w:rsidRPr="000B2445" w:rsidRDefault="00BE625E" w:rsidP="00BE625E">
                      <w:pPr>
                        <w:spacing w:line="160" w:lineRule="exact"/>
                        <w:jc w:val="center"/>
                        <w:rPr>
                          <w:rFonts w:asciiTheme="majorEastAsia" w:eastAsiaTheme="majorEastAsia" w:hAnsiTheme="majorEastAsia" w:cs="Arial"/>
                          <w:sz w:val="18"/>
                          <w:szCs w:val="16"/>
                        </w:rPr>
                      </w:pPr>
                      <w:proofErr w:type="gramStart"/>
                      <w:r w:rsidRPr="000B2445">
                        <w:rPr>
                          <w:rFonts w:asciiTheme="majorEastAsia" w:eastAsiaTheme="majorEastAsia" w:hAnsiTheme="majorEastAsia" w:cs="Arial" w:hint="eastAsia"/>
                          <w:sz w:val="18"/>
                          <w:szCs w:val="16"/>
                        </w:rPr>
                        <w:t>萬人次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E625E" w:rsidRPr="00FE1A07">
        <w:rPr>
          <w:rFonts w:ascii="標楷體" w:eastAsia="標楷體" w:hAnsi="標楷體" w:hint="eastAsia"/>
          <w:sz w:val="32"/>
          <w:szCs w:val="32"/>
        </w:rPr>
        <w:t>近6年1-6月來</w:t>
      </w:r>
      <w:proofErr w:type="gramStart"/>
      <w:r w:rsidR="00BE625E" w:rsidRPr="00FE1A07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BE625E" w:rsidRPr="00FE1A07">
        <w:rPr>
          <w:rFonts w:ascii="標楷體" w:eastAsia="標楷體" w:hAnsi="標楷體" w:hint="eastAsia"/>
          <w:sz w:val="32"/>
          <w:szCs w:val="32"/>
        </w:rPr>
        <w:t>旅客人數按居住地分</w:t>
      </w:r>
    </w:p>
    <w:p w:rsidR="004C0AA9" w:rsidRPr="00BB140A" w:rsidRDefault="00BE625E" w:rsidP="000343A4">
      <w:pPr>
        <w:snapToGrid w:val="0"/>
        <w:spacing w:afterLines="50" w:after="180" w:line="500" w:lineRule="exact"/>
        <w:ind w:left="29" w:rightChars="58" w:right="139" w:hangingChars="12" w:hanging="29"/>
        <w:jc w:val="center"/>
        <w:rPr>
          <w:rFonts w:ascii="標楷體" w:eastAsia="標楷體" w:hAnsi="標楷體" w:cs="Arial"/>
          <w:noProof/>
          <w:sz w:val="32"/>
        </w:rPr>
      </w:pPr>
      <w:r>
        <w:rPr>
          <w:noProof/>
        </w:rPr>
        <w:drawing>
          <wp:anchor distT="0" distB="0" distL="114300" distR="114300" simplePos="0" relativeHeight="251800576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38735</wp:posOffset>
            </wp:positionV>
            <wp:extent cx="5270740" cy="2544792"/>
            <wp:effectExtent l="0" t="0" r="25400" b="27305"/>
            <wp:wrapNone/>
            <wp:docPr id="13" name="圖表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AA9" w:rsidRPr="00B03AE0" w:rsidRDefault="004C0AA9" w:rsidP="004C0AA9">
      <w:pPr>
        <w:snapToGrid w:val="0"/>
        <w:spacing w:afterLines="50" w:after="180" w:line="500" w:lineRule="exact"/>
        <w:ind w:left="38" w:rightChars="58" w:right="139" w:hangingChars="12" w:hanging="38"/>
        <w:jc w:val="center"/>
        <w:rPr>
          <w:rFonts w:ascii="標楷體" w:eastAsia="標楷體" w:hAnsi="標楷體" w:cs="Arial"/>
          <w:color w:val="000000"/>
          <w:sz w:val="32"/>
        </w:rPr>
      </w:pPr>
    </w:p>
    <w:p w:rsidR="00943BD3" w:rsidRDefault="00943BD3">
      <w:pPr>
        <w:widowControl/>
        <w:rPr>
          <w:rFonts w:ascii="Arial" w:eastAsia="標楷體" w:hAnsi="Arial" w:cs="Arial"/>
          <w:color w:val="000000"/>
          <w:sz w:val="32"/>
        </w:rPr>
      </w:pPr>
      <w:r>
        <w:rPr>
          <w:rFonts w:ascii="Arial" w:eastAsia="標楷體" w:hAnsi="Arial" w:cs="Arial"/>
          <w:color w:val="000000"/>
          <w:sz w:val="32"/>
        </w:rPr>
        <w:br w:type="page"/>
      </w:r>
    </w:p>
    <w:p w:rsidR="00943BD3" w:rsidRPr="001616D2" w:rsidRDefault="00943BD3" w:rsidP="003C5658">
      <w:pPr>
        <w:snapToGrid w:val="0"/>
        <w:spacing w:afterLines="40" w:after="144" w:line="400" w:lineRule="exact"/>
        <w:ind w:left="757" w:hangingChars="210" w:hanging="757"/>
        <w:rPr>
          <w:rFonts w:ascii="Arial" w:eastAsia="標楷體" w:hAnsi="Arial" w:cs="Arial"/>
          <w:sz w:val="28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七</w:t>
      </w:r>
      <w:r w:rsidRPr="001E4C13">
        <w:rPr>
          <w:rFonts w:ascii="標楷體" w:eastAsia="標楷體" w:hAnsi="標楷體" w:hint="eastAsia"/>
          <w:b/>
          <w:bCs/>
          <w:sz w:val="36"/>
          <w:szCs w:val="36"/>
        </w:rPr>
        <w:t>、</w:t>
      </w:r>
      <w:r w:rsidR="00A2710E" w:rsidRPr="00A2710E">
        <w:rPr>
          <w:rFonts w:ascii="Arial" w:eastAsia="標楷體" w:hAnsi="Arial" w:cs="Arial" w:hint="eastAsia"/>
          <w:b/>
          <w:bCs/>
          <w:spacing w:val="15"/>
          <w:sz w:val="36"/>
          <w:szCs w:val="33"/>
          <w:shd w:val="clear" w:color="auto" w:fill="FFFFFF"/>
        </w:rPr>
        <w:t>上半年均溫略高於氣候平均值，惟極端氣溫十分明顯</w:t>
      </w:r>
    </w:p>
    <w:p w:rsidR="00A2710E" w:rsidRDefault="00A2710E" w:rsidP="00A2710E">
      <w:pPr>
        <w:spacing w:beforeLines="20" w:before="72" w:afterLines="40" w:after="144" w:line="440" w:lineRule="exact"/>
        <w:ind w:leftChars="50" w:left="120" w:rightChars="50" w:right="120" w:firstLineChars="200" w:firstLine="6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依中央氣象局13</w:t>
      </w:r>
      <w:r w:rsidRPr="00D849B6">
        <w:rPr>
          <w:rFonts w:ascii="標楷體" w:eastAsia="標楷體" w:hAnsi="標楷體" w:hint="eastAsia"/>
          <w:sz w:val="32"/>
        </w:rPr>
        <w:t>個</w:t>
      </w:r>
      <w:r>
        <w:rPr>
          <w:rFonts w:ascii="標楷體" w:eastAsia="標楷體" w:hAnsi="標楷體" w:hint="eastAsia"/>
          <w:sz w:val="32"/>
        </w:rPr>
        <w:t>平地</w:t>
      </w:r>
      <w:r w:rsidRPr="00D849B6">
        <w:rPr>
          <w:rFonts w:ascii="標楷體" w:eastAsia="標楷體" w:hAnsi="標楷體" w:hint="eastAsia"/>
          <w:sz w:val="32"/>
        </w:rPr>
        <w:t>氣象</w:t>
      </w:r>
      <w:r>
        <w:rPr>
          <w:rFonts w:ascii="標楷體" w:eastAsia="標楷體" w:hAnsi="標楷體" w:hint="eastAsia"/>
          <w:sz w:val="32"/>
        </w:rPr>
        <w:t>觀測</w:t>
      </w:r>
      <w:r w:rsidRPr="00D849B6">
        <w:rPr>
          <w:rFonts w:ascii="標楷體" w:eastAsia="標楷體" w:hAnsi="標楷體" w:hint="eastAsia"/>
          <w:sz w:val="32"/>
        </w:rPr>
        <w:t>站</w:t>
      </w:r>
      <w:proofErr w:type="gramStart"/>
      <w:r w:rsidRPr="00771218">
        <w:rPr>
          <w:rFonts w:ascii="標楷體" w:eastAsia="標楷體" w:hAnsi="標楷體" w:hint="eastAsia"/>
          <w:sz w:val="32"/>
          <w:vertAlign w:val="superscript"/>
        </w:rPr>
        <w:t>註</w:t>
      </w:r>
      <w:proofErr w:type="gramEnd"/>
      <w:r>
        <w:rPr>
          <w:rFonts w:ascii="標楷體" w:eastAsia="標楷體" w:hAnsi="標楷體" w:hint="eastAsia"/>
          <w:sz w:val="32"/>
          <w:vertAlign w:val="superscript"/>
        </w:rPr>
        <w:t>1</w:t>
      </w:r>
      <w:r>
        <w:rPr>
          <w:rFonts w:ascii="標楷體" w:eastAsia="標楷體" w:hAnsi="標楷體" w:hint="eastAsia"/>
          <w:sz w:val="32"/>
        </w:rPr>
        <w:t>資料顯示，105年1-6月全</w:t>
      </w:r>
      <w:proofErr w:type="gramStart"/>
      <w:r>
        <w:rPr>
          <w:rFonts w:ascii="標楷體" w:eastAsia="標楷體" w:hAnsi="標楷體" w:hint="eastAsia"/>
          <w:sz w:val="32"/>
        </w:rPr>
        <w:t>臺</w:t>
      </w:r>
      <w:proofErr w:type="gramEnd"/>
      <w:r w:rsidRPr="00D849B6">
        <w:rPr>
          <w:rFonts w:ascii="標楷體" w:eastAsia="標楷體" w:hAnsi="標楷體" w:hint="eastAsia"/>
          <w:sz w:val="32"/>
        </w:rPr>
        <w:t>平均氣溫為2</w:t>
      </w:r>
      <w:r>
        <w:rPr>
          <w:rFonts w:ascii="標楷體" w:eastAsia="標楷體" w:hAnsi="標楷體" w:hint="eastAsia"/>
          <w:sz w:val="32"/>
        </w:rPr>
        <w:t>2.5℃，較氣候平均值</w:t>
      </w:r>
      <w:proofErr w:type="gramStart"/>
      <w:r w:rsidRPr="00771218">
        <w:rPr>
          <w:rFonts w:ascii="標楷體" w:eastAsia="標楷體" w:hAnsi="標楷體" w:hint="eastAsia"/>
          <w:sz w:val="32"/>
          <w:vertAlign w:val="superscript"/>
        </w:rPr>
        <w:t>註</w:t>
      </w:r>
      <w:proofErr w:type="gramEnd"/>
      <w:r>
        <w:rPr>
          <w:rFonts w:ascii="標楷體" w:eastAsia="標楷體" w:hAnsi="標楷體" w:hint="eastAsia"/>
          <w:sz w:val="32"/>
          <w:vertAlign w:val="superscript"/>
        </w:rPr>
        <w:t>2</w:t>
      </w:r>
      <w:r>
        <w:rPr>
          <w:rFonts w:ascii="標楷體" w:eastAsia="標楷體" w:hAnsi="標楷體" w:hint="eastAsia"/>
          <w:sz w:val="32"/>
        </w:rPr>
        <w:t>略高0.4℃。觀察單</w:t>
      </w:r>
      <w:proofErr w:type="gramStart"/>
      <w:r>
        <w:rPr>
          <w:rFonts w:ascii="標楷體" w:eastAsia="標楷體" w:hAnsi="標楷體" w:hint="eastAsia"/>
          <w:sz w:val="32"/>
        </w:rPr>
        <w:t>月均溫與</w:t>
      </w:r>
      <w:proofErr w:type="gramEnd"/>
      <w:r>
        <w:rPr>
          <w:rFonts w:ascii="標楷體" w:eastAsia="標楷體" w:hAnsi="標楷體" w:hint="eastAsia"/>
          <w:sz w:val="32"/>
        </w:rPr>
        <w:t>該月氣候平均值差異，</w:t>
      </w:r>
      <w:proofErr w:type="gramStart"/>
      <w:r>
        <w:rPr>
          <w:rFonts w:ascii="標楷體" w:eastAsia="標楷體" w:hAnsi="標楷體" w:hint="eastAsia"/>
          <w:sz w:val="32"/>
        </w:rPr>
        <w:t>2、3月均溫分別</w:t>
      </w:r>
      <w:proofErr w:type="gramEnd"/>
      <w:r>
        <w:rPr>
          <w:rFonts w:ascii="標楷體" w:eastAsia="標楷體" w:hAnsi="標楷體" w:hint="eastAsia"/>
          <w:sz w:val="32"/>
        </w:rPr>
        <w:t>較平均值低0.9℃、1.2℃，</w:t>
      </w:r>
      <w:proofErr w:type="gramStart"/>
      <w:r>
        <w:rPr>
          <w:rFonts w:ascii="標楷體" w:eastAsia="標楷體" w:hAnsi="標楷體" w:hint="eastAsia"/>
          <w:sz w:val="32"/>
        </w:rPr>
        <w:t>4、5、6月均溫分別</w:t>
      </w:r>
      <w:proofErr w:type="gramEnd"/>
      <w:r>
        <w:rPr>
          <w:rFonts w:ascii="標楷體" w:eastAsia="標楷體" w:hAnsi="標楷體" w:hint="eastAsia"/>
          <w:sz w:val="32"/>
        </w:rPr>
        <w:t>較平均值高1.6℃、1.5℃、1.3℃，且1月最低氣溫出現於新竹站(2.8℃)，打破</w:t>
      </w:r>
      <w:proofErr w:type="gramStart"/>
      <w:r>
        <w:rPr>
          <w:rFonts w:ascii="標楷體" w:eastAsia="標楷體" w:hAnsi="標楷體" w:hint="eastAsia"/>
          <w:sz w:val="32"/>
        </w:rPr>
        <w:t>該站近36年</w:t>
      </w:r>
      <w:proofErr w:type="gramEnd"/>
      <w:r>
        <w:rPr>
          <w:rFonts w:ascii="標楷體" w:eastAsia="標楷體" w:hAnsi="標楷體" w:hint="eastAsia"/>
          <w:sz w:val="32"/>
        </w:rPr>
        <w:t>歷史最低氣溫紀錄，6月最高氣溫出現於</w:t>
      </w:r>
      <w:proofErr w:type="gramStart"/>
      <w:r>
        <w:rPr>
          <w:rFonts w:ascii="標楷體" w:eastAsia="標楷體" w:hAnsi="標楷體" w:hint="eastAsia"/>
          <w:sz w:val="32"/>
        </w:rPr>
        <w:t>臺</w:t>
      </w:r>
      <w:proofErr w:type="gramEnd"/>
      <w:r>
        <w:rPr>
          <w:rFonts w:ascii="標楷體" w:eastAsia="標楷體" w:hAnsi="標楷體" w:hint="eastAsia"/>
          <w:sz w:val="32"/>
        </w:rPr>
        <w:t>北站(38.7℃)，為</w:t>
      </w:r>
      <w:proofErr w:type="gramStart"/>
      <w:r>
        <w:rPr>
          <w:rFonts w:ascii="標楷體" w:eastAsia="標楷體" w:hAnsi="標楷體" w:hint="eastAsia"/>
          <w:sz w:val="32"/>
        </w:rPr>
        <w:t>該站近36年</w:t>
      </w:r>
      <w:proofErr w:type="gramEnd"/>
      <w:r>
        <w:rPr>
          <w:rFonts w:ascii="標楷體" w:eastAsia="標楷體" w:hAnsi="標楷體" w:hint="eastAsia"/>
          <w:sz w:val="32"/>
        </w:rPr>
        <w:t>第3高溫紀錄，顯見上半年極端氣溫十分明顯。</w:t>
      </w:r>
    </w:p>
    <w:p w:rsidR="00943BD3" w:rsidRDefault="00A2710E" w:rsidP="00A2710E">
      <w:pPr>
        <w:spacing w:beforeLines="20" w:before="72" w:afterLines="40" w:after="144" w:line="440" w:lineRule="exact"/>
        <w:ind w:leftChars="50" w:left="120" w:rightChars="50" w:right="120" w:firstLineChars="200" w:firstLine="6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降水量方面，</w:t>
      </w:r>
      <w:r w:rsidRPr="00D849B6">
        <w:rPr>
          <w:rFonts w:ascii="標楷體" w:eastAsia="標楷體" w:hAnsi="標楷體" w:hint="eastAsia"/>
          <w:sz w:val="32"/>
        </w:rPr>
        <w:t>1</w:t>
      </w:r>
      <w:r>
        <w:rPr>
          <w:rFonts w:ascii="標楷體" w:eastAsia="標楷體" w:hAnsi="標楷體" w:hint="eastAsia"/>
          <w:sz w:val="32"/>
        </w:rPr>
        <w:t>05年1-6月13</w:t>
      </w:r>
      <w:r w:rsidRPr="00D849B6">
        <w:rPr>
          <w:rFonts w:ascii="標楷體" w:eastAsia="標楷體" w:hAnsi="標楷體" w:hint="eastAsia"/>
          <w:sz w:val="32"/>
        </w:rPr>
        <w:t>個</w:t>
      </w:r>
      <w:r>
        <w:rPr>
          <w:rFonts w:ascii="標楷體" w:eastAsia="標楷體" w:hAnsi="標楷體" w:hint="eastAsia"/>
          <w:sz w:val="32"/>
        </w:rPr>
        <w:t>平地</w:t>
      </w:r>
      <w:r w:rsidRPr="00D849B6">
        <w:rPr>
          <w:rFonts w:ascii="標楷體" w:eastAsia="標楷體" w:hAnsi="標楷體" w:hint="eastAsia"/>
          <w:sz w:val="32"/>
        </w:rPr>
        <w:t>氣象</w:t>
      </w:r>
      <w:r>
        <w:rPr>
          <w:rFonts w:ascii="標楷體" w:eastAsia="標楷體" w:hAnsi="標楷體" w:hint="eastAsia"/>
          <w:sz w:val="32"/>
        </w:rPr>
        <w:t>觀測</w:t>
      </w:r>
      <w:r w:rsidRPr="00D849B6">
        <w:rPr>
          <w:rFonts w:ascii="標楷體" w:eastAsia="標楷體" w:hAnsi="標楷體" w:hint="eastAsia"/>
          <w:sz w:val="32"/>
        </w:rPr>
        <w:t>站之平均</w:t>
      </w:r>
      <w:r>
        <w:rPr>
          <w:rFonts w:ascii="標楷體" w:eastAsia="標楷體" w:hAnsi="標楷體" w:hint="eastAsia"/>
          <w:sz w:val="32"/>
        </w:rPr>
        <w:t>累積</w:t>
      </w:r>
      <w:r w:rsidRPr="00D849B6">
        <w:rPr>
          <w:rFonts w:ascii="標楷體" w:eastAsia="標楷體" w:hAnsi="標楷體" w:hint="eastAsia"/>
          <w:sz w:val="32"/>
        </w:rPr>
        <w:t>降水量為</w:t>
      </w:r>
      <w:r>
        <w:rPr>
          <w:rFonts w:ascii="標楷體" w:eastAsia="標楷體" w:hAnsi="標楷體" w:hint="eastAsia"/>
          <w:sz w:val="32"/>
        </w:rPr>
        <w:t>973.0</w:t>
      </w:r>
      <w:r w:rsidRPr="00D849B6">
        <w:rPr>
          <w:rFonts w:ascii="標楷體" w:eastAsia="標楷體" w:hAnsi="標楷體" w:hint="eastAsia"/>
          <w:sz w:val="32"/>
        </w:rPr>
        <w:t>毫米</w:t>
      </w:r>
      <w:r>
        <w:rPr>
          <w:rFonts w:ascii="標楷體" w:eastAsia="標楷體" w:hAnsi="標楷體" w:hint="eastAsia"/>
          <w:sz w:val="32"/>
        </w:rPr>
        <w:t>，較氣候平均值高43.1</w:t>
      </w:r>
      <w:r w:rsidRPr="00D849B6">
        <w:rPr>
          <w:rFonts w:ascii="標楷體" w:eastAsia="標楷體" w:hAnsi="標楷體" w:hint="eastAsia"/>
          <w:sz w:val="32"/>
        </w:rPr>
        <w:t>毫米，</w:t>
      </w:r>
      <w:r>
        <w:rPr>
          <w:rFonts w:ascii="標楷體" w:eastAsia="標楷體" w:hAnsi="標楷體" w:hint="eastAsia"/>
          <w:sz w:val="32"/>
        </w:rPr>
        <w:t>其中以新竹站降水量較平均值高284.9</w:t>
      </w:r>
      <w:r w:rsidRPr="00D849B6">
        <w:rPr>
          <w:rFonts w:ascii="標楷體" w:eastAsia="標楷體" w:hAnsi="標楷體" w:hint="eastAsia"/>
          <w:sz w:val="32"/>
        </w:rPr>
        <w:t>毫米</w:t>
      </w:r>
      <w:r>
        <w:rPr>
          <w:rFonts w:ascii="標楷體" w:eastAsia="標楷體" w:hAnsi="標楷體" w:hint="eastAsia"/>
          <w:sz w:val="32"/>
        </w:rPr>
        <w:t>最多，而宜蘭站降水量較平均值低201.3</w:t>
      </w:r>
      <w:r w:rsidRPr="00D849B6">
        <w:rPr>
          <w:rFonts w:ascii="標楷體" w:eastAsia="標楷體" w:hAnsi="標楷體" w:hint="eastAsia"/>
          <w:sz w:val="32"/>
        </w:rPr>
        <w:t>毫米</w:t>
      </w:r>
      <w:r>
        <w:rPr>
          <w:rFonts w:ascii="標楷體" w:eastAsia="標楷體" w:hAnsi="標楷體" w:hint="eastAsia"/>
          <w:sz w:val="32"/>
        </w:rPr>
        <w:t>則為減少最多。</w:t>
      </w:r>
      <w:r w:rsidRPr="000D29D3">
        <w:rPr>
          <w:rFonts w:ascii="標楷體" w:eastAsia="標楷體" w:hAnsi="標楷體" w:hint="eastAsia"/>
          <w:sz w:val="32"/>
        </w:rPr>
        <w:t>若將降水量依70-99</w:t>
      </w:r>
      <w:r>
        <w:rPr>
          <w:rFonts w:ascii="標楷體" w:eastAsia="標楷體" w:hAnsi="標楷體" w:hint="eastAsia"/>
          <w:sz w:val="32"/>
        </w:rPr>
        <w:t>年資料排序劃分為偏多、正常、偏少三種分類，除5月降水量屬「偏少」外</w:t>
      </w:r>
      <w:r w:rsidRPr="000D29D3">
        <w:rPr>
          <w:rFonts w:ascii="標楷體" w:eastAsia="標楷體" w:hAnsi="標楷體" w:hint="eastAsia"/>
          <w:sz w:val="32"/>
        </w:rPr>
        <w:t>，</w:t>
      </w:r>
      <w:r>
        <w:rPr>
          <w:rFonts w:ascii="標楷體" w:eastAsia="標楷體" w:hAnsi="標楷體" w:hint="eastAsia"/>
          <w:sz w:val="32"/>
        </w:rPr>
        <w:t>其餘</w:t>
      </w:r>
      <w:r w:rsidRPr="000D29D3">
        <w:rPr>
          <w:rFonts w:ascii="標楷體" w:eastAsia="標楷體" w:hAnsi="標楷體" w:hint="eastAsia"/>
          <w:sz w:val="32"/>
        </w:rPr>
        <w:t>各</w:t>
      </w:r>
      <w:r>
        <w:rPr>
          <w:rFonts w:ascii="標楷體" w:eastAsia="標楷體" w:hAnsi="標楷體" w:hint="eastAsia"/>
          <w:sz w:val="32"/>
        </w:rPr>
        <w:t>月皆屬</w:t>
      </w:r>
      <w:r w:rsidRPr="000D29D3">
        <w:rPr>
          <w:rFonts w:ascii="標楷體" w:eastAsia="標楷體" w:hAnsi="標楷體" w:hint="eastAsia"/>
          <w:sz w:val="32"/>
        </w:rPr>
        <w:t>「正常」</w:t>
      </w:r>
      <w:r>
        <w:rPr>
          <w:rFonts w:ascii="標楷體" w:eastAsia="標楷體" w:hAnsi="標楷體" w:hint="eastAsia"/>
          <w:sz w:val="32"/>
        </w:rPr>
        <w:t>或「偏多」。</w:t>
      </w:r>
    </w:p>
    <w:p w:rsidR="00144BEA" w:rsidRPr="003C5658" w:rsidRDefault="00144BEA" w:rsidP="00803F04">
      <w:pPr>
        <w:snapToGrid w:val="0"/>
        <w:spacing w:beforeLines="50" w:before="180" w:line="0" w:lineRule="atLeast"/>
        <w:ind w:leftChars="59" w:left="850" w:rightChars="10" w:right="24" w:hangingChars="322" w:hanging="708"/>
        <w:rPr>
          <w:rFonts w:ascii="標楷體" w:eastAsia="標楷體" w:hAnsi="標楷體"/>
          <w:sz w:val="22"/>
          <w:szCs w:val="22"/>
        </w:rPr>
      </w:pPr>
      <w:proofErr w:type="gramStart"/>
      <w:r w:rsidRPr="003C5658">
        <w:rPr>
          <w:rFonts w:ascii="標楷體" w:eastAsia="標楷體" w:hAnsi="標楷體" w:hint="eastAsia"/>
          <w:sz w:val="22"/>
          <w:szCs w:val="22"/>
        </w:rPr>
        <w:t>註</w:t>
      </w:r>
      <w:proofErr w:type="gramEnd"/>
      <w:r w:rsidRPr="003C5658">
        <w:rPr>
          <w:rFonts w:ascii="標楷體" w:eastAsia="標楷體" w:hAnsi="標楷體" w:hint="eastAsia"/>
          <w:sz w:val="22"/>
          <w:szCs w:val="22"/>
        </w:rPr>
        <w:t>：1.</w:t>
      </w:r>
      <w:r w:rsidR="00A2710E" w:rsidRPr="00A2710E">
        <w:rPr>
          <w:rFonts w:ascii="標楷體" w:eastAsia="標楷體" w:hAnsi="標楷體" w:hint="eastAsia"/>
          <w:sz w:val="22"/>
          <w:szCs w:val="22"/>
        </w:rPr>
        <w:t>13個平地氣象觀測站為淡水、基隆、</w:t>
      </w:r>
      <w:proofErr w:type="gramStart"/>
      <w:r w:rsidR="00A2710E" w:rsidRPr="00A2710E">
        <w:rPr>
          <w:rFonts w:ascii="標楷體" w:eastAsia="標楷體" w:hAnsi="標楷體" w:hint="eastAsia"/>
          <w:sz w:val="22"/>
          <w:szCs w:val="22"/>
        </w:rPr>
        <w:t>臺</w:t>
      </w:r>
      <w:proofErr w:type="gramEnd"/>
      <w:r w:rsidR="00A2710E" w:rsidRPr="00A2710E">
        <w:rPr>
          <w:rFonts w:ascii="標楷體" w:eastAsia="標楷體" w:hAnsi="標楷體" w:hint="eastAsia"/>
          <w:sz w:val="22"/>
          <w:szCs w:val="22"/>
        </w:rPr>
        <w:t>北、新竹、宜蘭、</w:t>
      </w:r>
      <w:proofErr w:type="gramStart"/>
      <w:r w:rsidR="00A2710E" w:rsidRPr="00A2710E">
        <w:rPr>
          <w:rFonts w:ascii="標楷體" w:eastAsia="標楷體" w:hAnsi="標楷體" w:hint="eastAsia"/>
          <w:sz w:val="22"/>
          <w:szCs w:val="22"/>
        </w:rPr>
        <w:t>臺</w:t>
      </w:r>
      <w:proofErr w:type="gramEnd"/>
      <w:r w:rsidR="00A2710E" w:rsidRPr="00A2710E">
        <w:rPr>
          <w:rFonts w:ascii="標楷體" w:eastAsia="標楷體" w:hAnsi="標楷體" w:hint="eastAsia"/>
          <w:sz w:val="22"/>
          <w:szCs w:val="22"/>
        </w:rPr>
        <w:t>中、花蓮、</w:t>
      </w:r>
      <w:proofErr w:type="gramStart"/>
      <w:r w:rsidR="00A2710E" w:rsidRPr="00A2710E">
        <w:rPr>
          <w:rFonts w:ascii="標楷體" w:eastAsia="標楷體" w:hAnsi="標楷體" w:hint="eastAsia"/>
          <w:sz w:val="22"/>
          <w:szCs w:val="22"/>
        </w:rPr>
        <w:t>臺</w:t>
      </w:r>
      <w:proofErr w:type="gramEnd"/>
      <w:r w:rsidR="00A2710E" w:rsidRPr="00A2710E">
        <w:rPr>
          <w:rFonts w:ascii="標楷體" w:eastAsia="標楷體" w:hAnsi="標楷體" w:hint="eastAsia"/>
          <w:sz w:val="22"/>
          <w:szCs w:val="22"/>
        </w:rPr>
        <w:t>東、高雄、恆春、</w:t>
      </w:r>
      <w:proofErr w:type="gramStart"/>
      <w:r w:rsidR="00A2710E" w:rsidRPr="00A2710E">
        <w:rPr>
          <w:rFonts w:ascii="標楷體" w:eastAsia="標楷體" w:hAnsi="標楷體" w:hint="eastAsia"/>
          <w:sz w:val="22"/>
          <w:szCs w:val="22"/>
        </w:rPr>
        <w:t>臺</w:t>
      </w:r>
      <w:proofErr w:type="gramEnd"/>
      <w:r w:rsidR="00A2710E" w:rsidRPr="00A2710E">
        <w:rPr>
          <w:rFonts w:ascii="標楷體" w:eastAsia="標楷體" w:hAnsi="標楷體" w:hint="eastAsia"/>
          <w:sz w:val="22"/>
          <w:szCs w:val="22"/>
        </w:rPr>
        <w:t>南、成功、大武</w:t>
      </w:r>
      <w:r w:rsidR="003C5658" w:rsidRPr="003C5658">
        <w:rPr>
          <w:rFonts w:ascii="標楷體" w:eastAsia="標楷體" w:hAnsi="標楷體" w:hint="eastAsia"/>
          <w:sz w:val="22"/>
          <w:szCs w:val="22"/>
        </w:rPr>
        <w:t>。</w:t>
      </w:r>
    </w:p>
    <w:p w:rsidR="00144BEA" w:rsidRPr="003C5658" w:rsidRDefault="00144BEA" w:rsidP="00803F04">
      <w:pPr>
        <w:snapToGrid w:val="0"/>
        <w:spacing w:line="0" w:lineRule="atLeast"/>
        <w:ind w:leftChars="236" w:left="683" w:rightChars="10" w:right="24" w:hangingChars="53" w:hanging="117"/>
        <w:rPr>
          <w:rFonts w:ascii="標楷體" w:eastAsia="標楷體" w:hAnsi="標楷體"/>
          <w:sz w:val="22"/>
          <w:szCs w:val="22"/>
        </w:rPr>
      </w:pPr>
      <w:r w:rsidRPr="003C5658">
        <w:rPr>
          <w:rFonts w:ascii="標楷體" w:eastAsia="標楷體" w:hAnsi="標楷體" w:hint="eastAsia"/>
          <w:sz w:val="22"/>
          <w:szCs w:val="22"/>
        </w:rPr>
        <w:t>2.</w:t>
      </w:r>
      <w:r w:rsidR="00A2710E" w:rsidRPr="00A2710E">
        <w:rPr>
          <w:rFonts w:ascii="標楷體" w:eastAsia="標楷體" w:hAnsi="標楷體" w:hint="eastAsia"/>
          <w:sz w:val="22"/>
          <w:szCs w:val="22"/>
        </w:rPr>
        <w:t>氣候平均值為30年平均值，每10年更新一次，目前統計期為70-99年</w:t>
      </w:r>
      <w:r w:rsidR="003C5658" w:rsidRPr="003C5658">
        <w:rPr>
          <w:rFonts w:ascii="標楷體" w:eastAsia="標楷體" w:hAnsi="標楷體" w:hint="eastAsia"/>
          <w:sz w:val="22"/>
          <w:szCs w:val="22"/>
        </w:rPr>
        <w:t>。</w:t>
      </w:r>
    </w:p>
    <w:p w:rsidR="00943BD3" w:rsidRPr="00343E07" w:rsidRDefault="00A2710E" w:rsidP="00A2710E">
      <w:pPr>
        <w:snapToGrid w:val="0"/>
        <w:spacing w:beforeLines="20" w:before="72" w:line="480" w:lineRule="exact"/>
        <w:ind w:left="38" w:rightChars="58" w:right="139" w:hangingChars="12" w:hanging="38"/>
        <w:jc w:val="center"/>
        <w:rPr>
          <w:rFonts w:ascii="標楷體" w:eastAsia="標楷體" w:hAnsi="新細明體"/>
          <w:bCs/>
          <w:noProof/>
          <w:color w:val="000000"/>
          <w:sz w:val="32"/>
        </w:rPr>
      </w:pPr>
      <w:r w:rsidRPr="00FE1A07">
        <w:rPr>
          <w:rFonts w:ascii="標楷體" w:eastAsia="標楷體" w:hAnsi="標楷體" w:hint="eastAsia"/>
          <w:sz w:val="32"/>
          <w:szCs w:val="32"/>
        </w:rPr>
        <w:t>近6年1-6月臺灣平地氣象觀測站之平均氣溫及累積降水量</w:t>
      </w:r>
    </w:p>
    <w:p w:rsidR="00343E07" w:rsidRPr="00144BEA" w:rsidRDefault="003F223C" w:rsidP="00144BEA">
      <w:pPr>
        <w:widowControl/>
        <w:rPr>
          <w:rFonts w:ascii="Arial" w:eastAsia="標楷體" w:hAnsi="Arial" w:cs="Arial"/>
          <w:color w:val="000000"/>
          <w:sz w:val="32"/>
        </w:rPr>
      </w:pPr>
      <w:r w:rsidRPr="0084253A">
        <w:rPr>
          <w:noProof/>
        </w:rPr>
        <w:drawing>
          <wp:anchor distT="0" distB="0" distL="114300" distR="114300" simplePos="0" relativeHeight="251797504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46990</wp:posOffset>
            </wp:positionV>
            <wp:extent cx="5274310" cy="2868484"/>
            <wp:effectExtent l="0" t="0" r="2540" b="8255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6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3E07" w:rsidRPr="00144BEA" w:rsidSect="00461AF5">
      <w:pgSz w:w="11906" w:h="16838"/>
      <w:pgMar w:top="1440" w:right="1701" w:bottom="1440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F0E" w:rsidRDefault="001E7F0E">
      <w:r>
        <w:separator/>
      </w:r>
    </w:p>
  </w:endnote>
  <w:endnote w:type="continuationSeparator" w:id="0">
    <w:p w:rsidR="001E7F0E" w:rsidRDefault="001E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36A" w:rsidRDefault="007208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636A" w:rsidRDefault="009863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36A" w:rsidRPr="00943BD3" w:rsidRDefault="00720843" w:rsidP="00943BD3">
    <w:pPr>
      <w:pStyle w:val="a3"/>
      <w:jc w:val="center"/>
      <w:rPr>
        <w:sz w:val="24"/>
        <w:szCs w:val="24"/>
      </w:rPr>
    </w:pPr>
    <w:r w:rsidRPr="00943BD3">
      <w:rPr>
        <w:sz w:val="24"/>
        <w:szCs w:val="24"/>
      </w:rPr>
      <w:fldChar w:fldCharType="begin"/>
    </w:r>
    <w:r w:rsidRPr="00943BD3">
      <w:rPr>
        <w:sz w:val="24"/>
        <w:szCs w:val="24"/>
      </w:rPr>
      <w:instrText>PAGE   \* MERGEFORMAT</w:instrText>
    </w:r>
    <w:r w:rsidRPr="00943BD3">
      <w:rPr>
        <w:sz w:val="24"/>
        <w:szCs w:val="24"/>
      </w:rPr>
      <w:fldChar w:fldCharType="separate"/>
    </w:r>
    <w:r w:rsidR="000D7A5A" w:rsidRPr="000D7A5A">
      <w:rPr>
        <w:noProof/>
        <w:sz w:val="24"/>
        <w:szCs w:val="24"/>
        <w:lang w:val="zh-TW"/>
      </w:rPr>
      <w:t>8</w:t>
    </w:r>
    <w:r w:rsidRPr="00943BD3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F0E" w:rsidRDefault="001E7F0E">
      <w:r>
        <w:separator/>
      </w:r>
    </w:p>
  </w:footnote>
  <w:footnote w:type="continuationSeparator" w:id="0">
    <w:p w:rsidR="001E7F0E" w:rsidRDefault="001E7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53"/>
    <w:rsid w:val="00000102"/>
    <w:rsid w:val="0000555F"/>
    <w:rsid w:val="00013F0C"/>
    <w:rsid w:val="000158CE"/>
    <w:rsid w:val="00024B34"/>
    <w:rsid w:val="00033057"/>
    <w:rsid w:val="000331D9"/>
    <w:rsid w:val="000343A4"/>
    <w:rsid w:val="000368B1"/>
    <w:rsid w:val="00037711"/>
    <w:rsid w:val="000402E0"/>
    <w:rsid w:val="000576EC"/>
    <w:rsid w:val="000612AD"/>
    <w:rsid w:val="000706C3"/>
    <w:rsid w:val="0007359A"/>
    <w:rsid w:val="00076B59"/>
    <w:rsid w:val="0007715B"/>
    <w:rsid w:val="000950BB"/>
    <w:rsid w:val="0009621F"/>
    <w:rsid w:val="000A484B"/>
    <w:rsid w:val="000A5C36"/>
    <w:rsid w:val="000B0164"/>
    <w:rsid w:val="000D7A5A"/>
    <w:rsid w:val="000E3DB3"/>
    <w:rsid w:val="000E6CAD"/>
    <w:rsid w:val="000F11CE"/>
    <w:rsid w:val="000F14D0"/>
    <w:rsid w:val="00100B8D"/>
    <w:rsid w:val="001048E4"/>
    <w:rsid w:val="00107FAF"/>
    <w:rsid w:val="001106C3"/>
    <w:rsid w:val="001229FA"/>
    <w:rsid w:val="00125940"/>
    <w:rsid w:val="001277D1"/>
    <w:rsid w:val="00135F02"/>
    <w:rsid w:val="00136520"/>
    <w:rsid w:val="00144BEA"/>
    <w:rsid w:val="001506A1"/>
    <w:rsid w:val="0015079F"/>
    <w:rsid w:val="00153E9E"/>
    <w:rsid w:val="001616D2"/>
    <w:rsid w:val="001645F4"/>
    <w:rsid w:val="00173697"/>
    <w:rsid w:val="0017390B"/>
    <w:rsid w:val="00173FAE"/>
    <w:rsid w:val="00176EDE"/>
    <w:rsid w:val="00177912"/>
    <w:rsid w:val="001806BC"/>
    <w:rsid w:val="00182BCB"/>
    <w:rsid w:val="001B588B"/>
    <w:rsid w:val="001D4C39"/>
    <w:rsid w:val="001E4C13"/>
    <w:rsid w:val="001E7F0E"/>
    <w:rsid w:val="001F2D7D"/>
    <w:rsid w:val="001F6CF8"/>
    <w:rsid w:val="00203849"/>
    <w:rsid w:val="00207063"/>
    <w:rsid w:val="00215500"/>
    <w:rsid w:val="00215D1E"/>
    <w:rsid w:val="002204BF"/>
    <w:rsid w:val="00225C78"/>
    <w:rsid w:val="00227829"/>
    <w:rsid w:val="00251195"/>
    <w:rsid w:val="00251DD9"/>
    <w:rsid w:val="00265AA8"/>
    <w:rsid w:val="00274657"/>
    <w:rsid w:val="00277521"/>
    <w:rsid w:val="00287319"/>
    <w:rsid w:val="00287F96"/>
    <w:rsid w:val="002936BD"/>
    <w:rsid w:val="002A3BEB"/>
    <w:rsid w:val="002A7AEF"/>
    <w:rsid w:val="002B7080"/>
    <w:rsid w:val="002C78DB"/>
    <w:rsid w:val="002D6F69"/>
    <w:rsid w:val="002E0588"/>
    <w:rsid w:val="002E2E3B"/>
    <w:rsid w:val="002E305A"/>
    <w:rsid w:val="002E6CD1"/>
    <w:rsid w:val="002F17A7"/>
    <w:rsid w:val="0030215D"/>
    <w:rsid w:val="00303117"/>
    <w:rsid w:val="00305231"/>
    <w:rsid w:val="00312C5C"/>
    <w:rsid w:val="00312F79"/>
    <w:rsid w:val="00317474"/>
    <w:rsid w:val="0033681C"/>
    <w:rsid w:val="0034052F"/>
    <w:rsid w:val="00343E07"/>
    <w:rsid w:val="00351C7D"/>
    <w:rsid w:val="00354746"/>
    <w:rsid w:val="00367D30"/>
    <w:rsid w:val="00375EEB"/>
    <w:rsid w:val="00380965"/>
    <w:rsid w:val="00381BF7"/>
    <w:rsid w:val="00382CAC"/>
    <w:rsid w:val="0038603D"/>
    <w:rsid w:val="003876BE"/>
    <w:rsid w:val="0039098C"/>
    <w:rsid w:val="0039278D"/>
    <w:rsid w:val="003967C0"/>
    <w:rsid w:val="003A07B9"/>
    <w:rsid w:val="003A1717"/>
    <w:rsid w:val="003B0AA5"/>
    <w:rsid w:val="003C4F3A"/>
    <w:rsid w:val="003C5658"/>
    <w:rsid w:val="003D0178"/>
    <w:rsid w:val="003D3121"/>
    <w:rsid w:val="003D4995"/>
    <w:rsid w:val="003E5259"/>
    <w:rsid w:val="003F223C"/>
    <w:rsid w:val="003F565A"/>
    <w:rsid w:val="0041248E"/>
    <w:rsid w:val="00415BA8"/>
    <w:rsid w:val="004179B1"/>
    <w:rsid w:val="00430C7F"/>
    <w:rsid w:val="004329D3"/>
    <w:rsid w:val="00434D78"/>
    <w:rsid w:val="00435754"/>
    <w:rsid w:val="004437C3"/>
    <w:rsid w:val="004443E5"/>
    <w:rsid w:val="00444C5E"/>
    <w:rsid w:val="004500A0"/>
    <w:rsid w:val="004507B2"/>
    <w:rsid w:val="004527C4"/>
    <w:rsid w:val="00452A72"/>
    <w:rsid w:val="0045376F"/>
    <w:rsid w:val="00460D12"/>
    <w:rsid w:val="00461AF5"/>
    <w:rsid w:val="00482845"/>
    <w:rsid w:val="00483617"/>
    <w:rsid w:val="00483F40"/>
    <w:rsid w:val="0048506E"/>
    <w:rsid w:val="00491228"/>
    <w:rsid w:val="004A5154"/>
    <w:rsid w:val="004B3CA3"/>
    <w:rsid w:val="004B6560"/>
    <w:rsid w:val="004C0AA9"/>
    <w:rsid w:val="004C621F"/>
    <w:rsid w:val="004D6042"/>
    <w:rsid w:val="004E1A11"/>
    <w:rsid w:val="004F43E2"/>
    <w:rsid w:val="004F4BA6"/>
    <w:rsid w:val="004F71C6"/>
    <w:rsid w:val="005056F5"/>
    <w:rsid w:val="005066A2"/>
    <w:rsid w:val="00515E63"/>
    <w:rsid w:val="005162F0"/>
    <w:rsid w:val="00517879"/>
    <w:rsid w:val="00527F02"/>
    <w:rsid w:val="00530CDA"/>
    <w:rsid w:val="00531F63"/>
    <w:rsid w:val="00534D7E"/>
    <w:rsid w:val="005357F2"/>
    <w:rsid w:val="00537E77"/>
    <w:rsid w:val="0054151C"/>
    <w:rsid w:val="005468F3"/>
    <w:rsid w:val="005666A4"/>
    <w:rsid w:val="00567040"/>
    <w:rsid w:val="0056785D"/>
    <w:rsid w:val="005708DB"/>
    <w:rsid w:val="0057285A"/>
    <w:rsid w:val="005B0696"/>
    <w:rsid w:val="005B4342"/>
    <w:rsid w:val="005B4370"/>
    <w:rsid w:val="005B64C2"/>
    <w:rsid w:val="005B7828"/>
    <w:rsid w:val="005C0127"/>
    <w:rsid w:val="005D2FF0"/>
    <w:rsid w:val="0060418A"/>
    <w:rsid w:val="00606498"/>
    <w:rsid w:val="00612EF4"/>
    <w:rsid w:val="00624AB7"/>
    <w:rsid w:val="006337FA"/>
    <w:rsid w:val="0063536B"/>
    <w:rsid w:val="00641BE2"/>
    <w:rsid w:val="00656E9A"/>
    <w:rsid w:val="0065789C"/>
    <w:rsid w:val="00657B25"/>
    <w:rsid w:val="00661C81"/>
    <w:rsid w:val="0068363E"/>
    <w:rsid w:val="00687869"/>
    <w:rsid w:val="00692E28"/>
    <w:rsid w:val="00695C3B"/>
    <w:rsid w:val="006A3EF1"/>
    <w:rsid w:val="006A565F"/>
    <w:rsid w:val="006A6EC4"/>
    <w:rsid w:val="006B18A3"/>
    <w:rsid w:val="006B559B"/>
    <w:rsid w:val="006C04E8"/>
    <w:rsid w:val="006C2162"/>
    <w:rsid w:val="006C251C"/>
    <w:rsid w:val="006D0074"/>
    <w:rsid w:val="006D08A5"/>
    <w:rsid w:val="006E049C"/>
    <w:rsid w:val="006E4EC2"/>
    <w:rsid w:val="007162D8"/>
    <w:rsid w:val="00716F98"/>
    <w:rsid w:val="00720333"/>
    <w:rsid w:val="00720843"/>
    <w:rsid w:val="00727C52"/>
    <w:rsid w:val="007410EA"/>
    <w:rsid w:val="00751541"/>
    <w:rsid w:val="00755832"/>
    <w:rsid w:val="00764342"/>
    <w:rsid w:val="0076641A"/>
    <w:rsid w:val="0077209B"/>
    <w:rsid w:val="00776A95"/>
    <w:rsid w:val="00785A32"/>
    <w:rsid w:val="00792629"/>
    <w:rsid w:val="00792A2F"/>
    <w:rsid w:val="00794A0F"/>
    <w:rsid w:val="00796537"/>
    <w:rsid w:val="007A25D3"/>
    <w:rsid w:val="007A5078"/>
    <w:rsid w:val="007A5753"/>
    <w:rsid w:val="007B0AC9"/>
    <w:rsid w:val="007B0D48"/>
    <w:rsid w:val="007D4264"/>
    <w:rsid w:val="007D6155"/>
    <w:rsid w:val="007F13BB"/>
    <w:rsid w:val="00802C39"/>
    <w:rsid w:val="00803104"/>
    <w:rsid w:val="00803F04"/>
    <w:rsid w:val="008050CB"/>
    <w:rsid w:val="00806D35"/>
    <w:rsid w:val="00821ECF"/>
    <w:rsid w:val="00825C77"/>
    <w:rsid w:val="00832B30"/>
    <w:rsid w:val="00835A32"/>
    <w:rsid w:val="008408FB"/>
    <w:rsid w:val="0084117F"/>
    <w:rsid w:val="00844E61"/>
    <w:rsid w:val="00883A62"/>
    <w:rsid w:val="008871D1"/>
    <w:rsid w:val="008972BA"/>
    <w:rsid w:val="008978B6"/>
    <w:rsid w:val="008C0333"/>
    <w:rsid w:val="008C6FB0"/>
    <w:rsid w:val="008D2897"/>
    <w:rsid w:val="008F042B"/>
    <w:rsid w:val="008F2299"/>
    <w:rsid w:val="008F4068"/>
    <w:rsid w:val="008F549E"/>
    <w:rsid w:val="0090028A"/>
    <w:rsid w:val="00906C10"/>
    <w:rsid w:val="009158BA"/>
    <w:rsid w:val="00921E6E"/>
    <w:rsid w:val="0092305A"/>
    <w:rsid w:val="009348DB"/>
    <w:rsid w:val="00934E84"/>
    <w:rsid w:val="00936986"/>
    <w:rsid w:val="009371F4"/>
    <w:rsid w:val="00937E5A"/>
    <w:rsid w:val="00943BD3"/>
    <w:rsid w:val="00946DB1"/>
    <w:rsid w:val="009579D4"/>
    <w:rsid w:val="009606F1"/>
    <w:rsid w:val="00963B0D"/>
    <w:rsid w:val="00965698"/>
    <w:rsid w:val="009726A7"/>
    <w:rsid w:val="00984F1A"/>
    <w:rsid w:val="0098636A"/>
    <w:rsid w:val="00986A8C"/>
    <w:rsid w:val="0098787A"/>
    <w:rsid w:val="00987CD7"/>
    <w:rsid w:val="00994722"/>
    <w:rsid w:val="009A2B46"/>
    <w:rsid w:val="009A43F4"/>
    <w:rsid w:val="009A59CB"/>
    <w:rsid w:val="009B2083"/>
    <w:rsid w:val="009B36F7"/>
    <w:rsid w:val="009B5EA4"/>
    <w:rsid w:val="009C0240"/>
    <w:rsid w:val="009C47E9"/>
    <w:rsid w:val="009D6CC9"/>
    <w:rsid w:val="009E37BA"/>
    <w:rsid w:val="009F43D5"/>
    <w:rsid w:val="009F4C09"/>
    <w:rsid w:val="00A009E8"/>
    <w:rsid w:val="00A17358"/>
    <w:rsid w:val="00A2710E"/>
    <w:rsid w:val="00A416CC"/>
    <w:rsid w:val="00A479B5"/>
    <w:rsid w:val="00A66523"/>
    <w:rsid w:val="00A74D1D"/>
    <w:rsid w:val="00A843F9"/>
    <w:rsid w:val="00A85A55"/>
    <w:rsid w:val="00A95075"/>
    <w:rsid w:val="00A972FF"/>
    <w:rsid w:val="00AA0BF6"/>
    <w:rsid w:val="00AA39F9"/>
    <w:rsid w:val="00AA4150"/>
    <w:rsid w:val="00AA6DFC"/>
    <w:rsid w:val="00AB1126"/>
    <w:rsid w:val="00AB140F"/>
    <w:rsid w:val="00AB174E"/>
    <w:rsid w:val="00AB4A35"/>
    <w:rsid w:val="00AB51AB"/>
    <w:rsid w:val="00AC3C68"/>
    <w:rsid w:val="00AC4620"/>
    <w:rsid w:val="00AD76DC"/>
    <w:rsid w:val="00AE4F65"/>
    <w:rsid w:val="00AE5509"/>
    <w:rsid w:val="00AE7357"/>
    <w:rsid w:val="00AF1162"/>
    <w:rsid w:val="00AF2356"/>
    <w:rsid w:val="00B013F9"/>
    <w:rsid w:val="00B03AE0"/>
    <w:rsid w:val="00B05299"/>
    <w:rsid w:val="00B05D39"/>
    <w:rsid w:val="00B20749"/>
    <w:rsid w:val="00B21072"/>
    <w:rsid w:val="00B21C1B"/>
    <w:rsid w:val="00B234BC"/>
    <w:rsid w:val="00B25851"/>
    <w:rsid w:val="00B3378E"/>
    <w:rsid w:val="00B33D69"/>
    <w:rsid w:val="00B36EB8"/>
    <w:rsid w:val="00B44902"/>
    <w:rsid w:val="00B4491B"/>
    <w:rsid w:val="00B45C99"/>
    <w:rsid w:val="00B552D6"/>
    <w:rsid w:val="00B66F0A"/>
    <w:rsid w:val="00B7212C"/>
    <w:rsid w:val="00B76379"/>
    <w:rsid w:val="00B77E85"/>
    <w:rsid w:val="00B8543B"/>
    <w:rsid w:val="00B87610"/>
    <w:rsid w:val="00B920FA"/>
    <w:rsid w:val="00B94CA3"/>
    <w:rsid w:val="00B95F78"/>
    <w:rsid w:val="00BA005C"/>
    <w:rsid w:val="00BB049F"/>
    <w:rsid w:val="00BB140A"/>
    <w:rsid w:val="00BB358E"/>
    <w:rsid w:val="00BB5DC9"/>
    <w:rsid w:val="00BB6754"/>
    <w:rsid w:val="00BC343F"/>
    <w:rsid w:val="00BD5254"/>
    <w:rsid w:val="00BD5BC6"/>
    <w:rsid w:val="00BE409B"/>
    <w:rsid w:val="00BE625E"/>
    <w:rsid w:val="00BE6553"/>
    <w:rsid w:val="00BE6F81"/>
    <w:rsid w:val="00BF4A05"/>
    <w:rsid w:val="00BF6705"/>
    <w:rsid w:val="00C11A9F"/>
    <w:rsid w:val="00C13713"/>
    <w:rsid w:val="00C36ED4"/>
    <w:rsid w:val="00C402C0"/>
    <w:rsid w:val="00C46668"/>
    <w:rsid w:val="00C519B6"/>
    <w:rsid w:val="00C52060"/>
    <w:rsid w:val="00C55064"/>
    <w:rsid w:val="00C66864"/>
    <w:rsid w:val="00C723D1"/>
    <w:rsid w:val="00C80A50"/>
    <w:rsid w:val="00C81B58"/>
    <w:rsid w:val="00C83797"/>
    <w:rsid w:val="00C85ACE"/>
    <w:rsid w:val="00C86F31"/>
    <w:rsid w:val="00C959B1"/>
    <w:rsid w:val="00C97909"/>
    <w:rsid w:val="00CA0B05"/>
    <w:rsid w:val="00CA66ED"/>
    <w:rsid w:val="00CB0672"/>
    <w:rsid w:val="00CB45F3"/>
    <w:rsid w:val="00CC0CD8"/>
    <w:rsid w:val="00CC2C1C"/>
    <w:rsid w:val="00CC3A01"/>
    <w:rsid w:val="00CC45E8"/>
    <w:rsid w:val="00CC578B"/>
    <w:rsid w:val="00CC5A47"/>
    <w:rsid w:val="00CE720D"/>
    <w:rsid w:val="00D025E2"/>
    <w:rsid w:val="00D04CCE"/>
    <w:rsid w:val="00D1001D"/>
    <w:rsid w:val="00D27DED"/>
    <w:rsid w:val="00D37EB7"/>
    <w:rsid w:val="00D5447C"/>
    <w:rsid w:val="00D5635B"/>
    <w:rsid w:val="00D638C6"/>
    <w:rsid w:val="00D715DF"/>
    <w:rsid w:val="00D809C1"/>
    <w:rsid w:val="00D83855"/>
    <w:rsid w:val="00D974D9"/>
    <w:rsid w:val="00DA26C6"/>
    <w:rsid w:val="00DB17CC"/>
    <w:rsid w:val="00DD6086"/>
    <w:rsid w:val="00DE040E"/>
    <w:rsid w:val="00DE1A6B"/>
    <w:rsid w:val="00DE4516"/>
    <w:rsid w:val="00DE5ECB"/>
    <w:rsid w:val="00DE6114"/>
    <w:rsid w:val="00DF1156"/>
    <w:rsid w:val="00E110FE"/>
    <w:rsid w:val="00E24653"/>
    <w:rsid w:val="00E26F8D"/>
    <w:rsid w:val="00E46A47"/>
    <w:rsid w:val="00E66924"/>
    <w:rsid w:val="00E74246"/>
    <w:rsid w:val="00E76491"/>
    <w:rsid w:val="00E773A1"/>
    <w:rsid w:val="00E804D0"/>
    <w:rsid w:val="00E8079B"/>
    <w:rsid w:val="00E90AE1"/>
    <w:rsid w:val="00EA1BC1"/>
    <w:rsid w:val="00EA5377"/>
    <w:rsid w:val="00EC081E"/>
    <w:rsid w:val="00EC3F1C"/>
    <w:rsid w:val="00ED0E8E"/>
    <w:rsid w:val="00EF6952"/>
    <w:rsid w:val="00F013A6"/>
    <w:rsid w:val="00F26967"/>
    <w:rsid w:val="00F26A51"/>
    <w:rsid w:val="00F2789E"/>
    <w:rsid w:val="00F30866"/>
    <w:rsid w:val="00F43CF0"/>
    <w:rsid w:val="00F55A08"/>
    <w:rsid w:val="00F652BA"/>
    <w:rsid w:val="00F71F35"/>
    <w:rsid w:val="00F7268F"/>
    <w:rsid w:val="00F7289B"/>
    <w:rsid w:val="00F730A2"/>
    <w:rsid w:val="00F74C72"/>
    <w:rsid w:val="00F92B3D"/>
    <w:rsid w:val="00F953BE"/>
    <w:rsid w:val="00FA53E9"/>
    <w:rsid w:val="00FB095E"/>
    <w:rsid w:val="00FB485E"/>
    <w:rsid w:val="00FB66E9"/>
    <w:rsid w:val="00FC06EB"/>
    <w:rsid w:val="00FC6530"/>
    <w:rsid w:val="00FD3893"/>
    <w:rsid w:val="00FD395E"/>
    <w:rsid w:val="00FE1A07"/>
    <w:rsid w:val="00FE7980"/>
    <w:rsid w:val="00FF0AAA"/>
    <w:rsid w:val="00FF1628"/>
    <w:rsid w:val="00FF2C7B"/>
    <w:rsid w:val="00FF3B27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53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E6553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分析標題1"/>
    <w:link w:val="10"/>
    <w:autoRedefine/>
    <w:qFormat/>
    <w:rsid w:val="001F2D7D"/>
    <w:pPr>
      <w:spacing w:line="560" w:lineRule="exact"/>
      <w:ind w:rightChars="1" w:right="2"/>
    </w:pPr>
    <w:rPr>
      <w:rFonts w:ascii="標楷體" w:eastAsia="標楷體" w:hAnsi="標楷體"/>
      <w:b/>
      <w:bCs/>
      <w:kern w:val="2"/>
      <w:sz w:val="36"/>
      <w:szCs w:val="24"/>
    </w:rPr>
  </w:style>
  <w:style w:type="character" w:customStyle="1" w:styleId="10">
    <w:name w:val="分析標題1 字元"/>
    <w:link w:val="1"/>
    <w:rsid w:val="001F2D7D"/>
    <w:rPr>
      <w:rFonts w:ascii="標楷體" w:eastAsia="標楷體" w:hAnsi="標楷體"/>
      <w:b/>
      <w:bCs/>
      <w:kern w:val="2"/>
      <w:sz w:val="36"/>
      <w:szCs w:val="24"/>
    </w:rPr>
  </w:style>
  <w:style w:type="paragraph" w:styleId="a3">
    <w:name w:val="footer"/>
    <w:basedOn w:val="a"/>
    <w:link w:val="a4"/>
    <w:rsid w:val="007A57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7A5753"/>
    <w:rPr>
      <w:kern w:val="2"/>
    </w:rPr>
  </w:style>
  <w:style w:type="character" w:styleId="a5">
    <w:name w:val="page number"/>
    <w:semiHidden/>
    <w:rsid w:val="007A5753"/>
  </w:style>
  <w:style w:type="paragraph" w:styleId="a6">
    <w:name w:val="Body Text"/>
    <w:basedOn w:val="a"/>
    <w:link w:val="a7"/>
    <w:semiHidden/>
    <w:rsid w:val="007A5753"/>
    <w:pPr>
      <w:autoSpaceDE w:val="0"/>
      <w:autoSpaceDN w:val="0"/>
      <w:adjustRightInd w:val="0"/>
    </w:pPr>
    <w:rPr>
      <w:rFonts w:ascii="標楷體" w:eastAsia="標楷體" w:hAnsi="標楷體"/>
      <w:kern w:val="0"/>
      <w:sz w:val="32"/>
      <w:szCs w:val="20"/>
    </w:rPr>
  </w:style>
  <w:style w:type="character" w:customStyle="1" w:styleId="a7">
    <w:name w:val="本文 字元"/>
    <w:basedOn w:val="a0"/>
    <w:link w:val="a6"/>
    <w:semiHidden/>
    <w:rsid w:val="007A5753"/>
    <w:rPr>
      <w:rFonts w:ascii="標楷體" w:eastAsia="標楷體" w:hAnsi="標楷體"/>
      <w:sz w:val="32"/>
    </w:rPr>
  </w:style>
  <w:style w:type="paragraph" w:styleId="11">
    <w:name w:val="toc 1"/>
    <w:basedOn w:val="a"/>
    <w:next w:val="a"/>
    <w:autoRedefine/>
    <w:semiHidden/>
    <w:rsid w:val="0084117F"/>
    <w:pPr>
      <w:tabs>
        <w:tab w:val="right" w:leader="dot" w:pos="8453"/>
      </w:tabs>
      <w:spacing w:beforeLines="100" w:before="360" w:line="440" w:lineRule="exact"/>
      <w:ind w:left="657" w:hangingChars="205" w:hanging="657"/>
    </w:pPr>
    <w:rPr>
      <w:rFonts w:eastAsia="標楷體"/>
      <w:b/>
      <w:noProof/>
      <w:sz w:val="32"/>
      <w:szCs w:val="36"/>
    </w:rPr>
  </w:style>
  <w:style w:type="paragraph" w:customStyle="1" w:styleId="a8">
    <w:name w:val="分析標題"/>
    <w:basedOn w:val="a"/>
    <w:autoRedefine/>
    <w:rsid w:val="00375EEB"/>
    <w:pPr>
      <w:spacing w:line="160" w:lineRule="atLeast"/>
      <w:ind w:left="721" w:hangingChars="200" w:hanging="721"/>
    </w:pPr>
    <w:rPr>
      <w:rFonts w:ascii="標楷體" w:eastAsia="標楷體" w:hAnsi="標楷體"/>
      <w:b/>
      <w:color w:val="0D0D0D"/>
      <w:sz w:val="36"/>
      <w:szCs w:val="36"/>
    </w:rPr>
  </w:style>
  <w:style w:type="paragraph" w:customStyle="1" w:styleId="a9">
    <w:name w:val="指標圖標題"/>
    <w:basedOn w:val="a"/>
    <w:autoRedefine/>
    <w:rsid w:val="00803F04"/>
    <w:pPr>
      <w:spacing w:beforeLines="50" w:before="180" w:line="240" w:lineRule="exact"/>
      <w:ind w:rightChars="-73" w:right="-175"/>
      <w:jc w:val="center"/>
    </w:pPr>
    <w:rPr>
      <w:rFonts w:ascii="標楷體" w:eastAsia="標楷體" w:hAnsi="標楷體"/>
      <w:sz w:val="32"/>
    </w:rPr>
  </w:style>
  <w:style w:type="paragraph" w:styleId="aa">
    <w:name w:val="Balloon Text"/>
    <w:basedOn w:val="a"/>
    <w:link w:val="ab"/>
    <w:uiPriority w:val="99"/>
    <w:semiHidden/>
    <w:unhideWhenUsed/>
    <w:rsid w:val="00CA66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A66E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desccls1">
    <w:name w:val="desccls1"/>
    <w:rsid w:val="00CA66ED"/>
    <w:rPr>
      <w:color w:val="000099"/>
    </w:rPr>
  </w:style>
  <w:style w:type="paragraph" w:styleId="ac">
    <w:name w:val="header"/>
    <w:basedOn w:val="a"/>
    <w:link w:val="ad"/>
    <w:uiPriority w:val="99"/>
    <w:unhideWhenUsed/>
    <w:rsid w:val="00460D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460D12"/>
    <w:rPr>
      <w:kern w:val="2"/>
    </w:rPr>
  </w:style>
  <w:style w:type="paragraph" w:styleId="Web">
    <w:name w:val="Normal (Web)"/>
    <w:basedOn w:val="a"/>
    <w:uiPriority w:val="99"/>
    <w:unhideWhenUsed/>
    <w:rsid w:val="00A1735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標題 2 字元"/>
    <w:basedOn w:val="a0"/>
    <w:link w:val="2"/>
    <w:uiPriority w:val="9"/>
    <w:rsid w:val="00BE6553"/>
    <w:rPr>
      <w:rFonts w:ascii="新細明體" w:hAnsi="新細明體" w:cs="新細明體"/>
      <w:b/>
      <w:bCs/>
      <w:sz w:val="36"/>
      <w:szCs w:val="36"/>
    </w:rPr>
  </w:style>
  <w:style w:type="paragraph" w:customStyle="1" w:styleId="ae">
    <w:name w:val="說明"/>
    <w:basedOn w:val="a"/>
    <w:rsid w:val="00E46A47"/>
    <w:pPr>
      <w:kinsoku w:val="0"/>
      <w:wordWrap w:val="0"/>
      <w:snapToGrid w:val="0"/>
      <w:spacing w:before="120" w:line="440" w:lineRule="exact"/>
      <w:ind w:left="1077" w:hanging="1077"/>
      <w:jc w:val="both"/>
    </w:pPr>
    <w:rPr>
      <w:rFonts w:eastAsia="標楷體"/>
      <w:spacing w:val="2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53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E6553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分析標題1"/>
    <w:link w:val="10"/>
    <w:autoRedefine/>
    <w:qFormat/>
    <w:rsid w:val="001F2D7D"/>
    <w:pPr>
      <w:spacing w:line="560" w:lineRule="exact"/>
      <w:ind w:rightChars="1" w:right="2"/>
    </w:pPr>
    <w:rPr>
      <w:rFonts w:ascii="標楷體" w:eastAsia="標楷體" w:hAnsi="標楷體"/>
      <w:b/>
      <w:bCs/>
      <w:kern w:val="2"/>
      <w:sz w:val="36"/>
      <w:szCs w:val="24"/>
    </w:rPr>
  </w:style>
  <w:style w:type="character" w:customStyle="1" w:styleId="10">
    <w:name w:val="分析標題1 字元"/>
    <w:link w:val="1"/>
    <w:rsid w:val="001F2D7D"/>
    <w:rPr>
      <w:rFonts w:ascii="標楷體" w:eastAsia="標楷體" w:hAnsi="標楷體"/>
      <w:b/>
      <w:bCs/>
      <w:kern w:val="2"/>
      <w:sz w:val="36"/>
      <w:szCs w:val="24"/>
    </w:rPr>
  </w:style>
  <w:style w:type="paragraph" w:styleId="a3">
    <w:name w:val="footer"/>
    <w:basedOn w:val="a"/>
    <w:link w:val="a4"/>
    <w:rsid w:val="007A57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7A5753"/>
    <w:rPr>
      <w:kern w:val="2"/>
    </w:rPr>
  </w:style>
  <w:style w:type="character" w:styleId="a5">
    <w:name w:val="page number"/>
    <w:semiHidden/>
    <w:rsid w:val="007A5753"/>
  </w:style>
  <w:style w:type="paragraph" w:styleId="a6">
    <w:name w:val="Body Text"/>
    <w:basedOn w:val="a"/>
    <w:link w:val="a7"/>
    <w:semiHidden/>
    <w:rsid w:val="007A5753"/>
    <w:pPr>
      <w:autoSpaceDE w:val="0"/>
      <w:autoSpaceDN w:val="0"/>
      <w:adjustRightInd w:val="0"/>
    </w:pPr>
    <w:rPr>
      <w:rFonts w:ascii="標楷體" w:eastAsia="標楷體" w:hAnsi="標楷體"/>
      <w:kern w:val="0"/>
      <w:sz w:val="32"/>
      <w:szCs w:val="20"/>
    </w:rPr>
  </w:style>
  <w:style w:type="character" w:customStyle="1" w:styleId="a7">
    <w:name w:val="本文 字元"/>
    <w:basedOn w:val="a0"/>
    <w:link w:val="a6"/>
    <w:semiHidden/>
    <w:rsid w:val="007A5753"/>
    <w:rPr>
      <w:rFonts w:ascii="標楷體" w:eastAsia="標楷體" w:hAnsi="標楷體"/>
      <w:sz w:val="32"/>
    </w:rPr>
  </w:style>
  <w:style w:type="paragraph" w:styleId="11">
    <w:name w:val="toc 1"/>
    <w:basedOn w:val="a"/>
    <w:next w:val="a"/>
    <w:autoRedefine/>
    <w:semiHidden/>
    <w:rsid w:val="0084117F"/>
    <w:pPr>
      <w:tabs>
        <w:tab w:val="right" w:leader="dot" w:pos="8453"/>
      </w:tabs>
      <w:spacing w:beforeLines="100" w:before="360" w:line="440" w:lineRule="exact"/>
      <w:ind w:left="657" w:hangingChars="205" w:hanging="657"/>
    </w:pPr>
    <w:rPr>
      <w:rFonts w:eastAsia="標楷體"/>
      <w:b/>
      <w:noProof/>
      <w:sz w:val="32"/>
      <w:szCs w:val="36"/>
    </w:rPr>
  </w:style>
  <w:style w:type="paragraph" w:customStyle="1" w:styleId="a8">
    <w:name w:val="分析標題"/>
    <w:basedOn w:val="a"/>
    <w:autoRedefine/>
    <w:rsid w:val="00375EEB"/>
    <w:pPr>
      <w:spacing w:line="160" w:lineRule="atLeast"/>
      <w:ind w:left="721" w:hangingChars="200" w:hanging="721"/>
    </w:pPr>
    <w:rPr>
      <w:rFonts w:ascii="標楷體" w:eastAsia="標楷體" w:hAnsi="標楷體"/>
      <w:b/>
      <w:color w:val="0D0D0D"/>
      <w:sz w:val="36"/>
      <w:szCs w:val="36"/>
    </w:rPr>
  </w:style>
  <w:style w:type="paragraph" w:customStyle="1" w:styleId="a9">
    <w:name w:val="指標圖標題"/>
    <w:basedOn w:val="a"/>
    <w:autoRedefine/>
    <w:rsid w:val="00803F04"/>
    <w:pPr>
      <w:spacing w:beforeLines="50" w:before="180" w:line="240" w:lineRule="exact"/>
      <w:ind w:rightChars="-73" w:right="-175"/>
      <w:jc w:val="center"/>
    </w:pPr>
    <w:rPr>
      <w:rFonts w:ascii="標楷體" w:eastAsia="標楷體" w:hAnsi="標楷體"/>
      <w:sz w:val="32"/>
    </w:rPr>
  </w:style>
  <w:style w:type="paragraph" w:styleId="aa">
    <w:name w:val="Balloon Text"/>
    <w:basedOn w:val="a"/>
    <w:link w:val="ab"/>
    <w:uiPriority w:val="99"/>
    <w:semiHidden/>
    <w:unhideWhenUsed/>
    <w:rsid w:val="00CA66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A66E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desccls1">
    <w:name w:val="desccls1"/>
    <w:rsid w:val="00CA66ED"/>
    <w:rPr>
      <w:color w:val="000099"/>
    </w:rPr>
  </w:style>
  <w:style w:type="paragraph" w:styleId="ac">
    <w:name w:val="header"/>
    <w:basedOn w:val="a"/>
    <w:link w:val="ad"/>
    <w:uiPriority w:val="99"/>
    <w:unhideWhenUsed/>
    <w:rsid w:val="00460D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460D12"/>
    <w:rPr>
      <w:kern w:val="2"/>
    </w:rPr>
  </w:style>
  <w:style w:type="paragraph" w:styleId="Web">
    <w:name w:val="Normal (Web)"/>
    <w:basedOn w:val="a"/>
    <w:uiPriority w:val="99"/>
    <w:unhideWhenUsed/>
    <w:rsid w:val="00A1735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標題 2 字元"/>
    <w:basedOn w:val="a0"/>
    <w:link w:val="2"/>
    <w:uiPriority w:val="9"/>
    <w:rsid w:val="00BE6553"/>
    <w:rPr>
      <w:rFonts w:ascii="新細明體" w:hAnsi="新細明體" w:cs="新細明體"/>
      <w:b/>
      <w:bCs/>
      <w:sz w:val="36"/>
      <w:szCs w:val="36"/>
    </w:rPr>
  </w:style>
  <w:style w:type="paragraph" w:customStyle="1" w:styleId="ae">
    <w:name w:val="說明"/>
    <w:basedOn w:val="a"/>
    <w:rsid w:val="00E46A47"/>
    <w:pPr>
      <w:kinsoku w:val="0"/>
      <w:wordWrap w:val="0"/>
      <w:snapToGrid w:val="0"/>
      <w:spacing w:before="120" w:line="440" w:lineRule="exact"/>
      <w:ind w:left="1077" w:hanging="1077"/>
      <w:jc w:val="both"/>
    </w:pPr>
    <w:rPr>
      <w:rFonts w:eastAsia="標楷體"/>
      <w:spacing w:val="2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emf"/><Relationship Id="rId18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kuochangju\16&#34399;&#32113;&#35336;&#20998;&#26512;\10506\10506&#20358;&#33274;&#26053;&#2345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>
        <c:manualLayout>
          <c:layoutTarget val="inner"/>
          <c:xMode val="edge"/>
          <c:yMode val="edge"/>
          <c:x val="7.4661243013315018E-2"/>
          <c:y val="9.4994123092605492E-2"/>
          <c:w val="0.89883393982628623"/>
          <c:h val="0.769750049407628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工作表6!$B$2</c:f>
              <c:strCache>
                <c:ptCount val="1"/>
                <c:pt idx="0">
                  <c:v>100年</c:v>
                </c:pt>
              </c:strCache>
            </c:strRef>
          </c:tx>
          <c:invertIfNegative val="0"/>
          <c:cat>
            <c:strRef>
              <c:f>工作表6!$A$3:$A$9</c:f>
              <c:strCache>
                <c:ptCount val="7"/>
                <c:pt idx="0">
                  <c:v>中國大陸</c:v>
                </c:pt>
                <c:pt idx="1">
                  <c:v>日本</c:v>
                </c:pt>
                <c:pt idx="2">
                  <c:v>港澳</c:v>
                </c:pt>
                <c:pt idx="3">
                  <c:v>南韓</c:v>
                </c:pt>
                <c:pt idx="4">
                  <c:v>美國</c:v>
                </c:pt>
                <c:pt idx="5">
                  <c:v>馬來西亞</c:v>
                </c:pt>
                <c:pt idx="6">
                  <c:v>新加坡</c:v>
                </c:pt>
              </c:strCache>
            </c:strRef>
          </c:cat>
          <c:val>
            <c:numRef>
              <c:f>工作表6!$B$3:$B$9</c:f>
              <c:numCache>
                <c:formatCode>#,##0</c:formatCode>
                <c:ptCount val="7"/>
                <c:pt idx="0">
                  <c:v>829219</c:v>
                </c:pt>
                <c:pt idx="1">
                  <c:v>588331</c:v>
                </c:pt>
                <c:pt idx="2">
                  <c:v>383177</c:v>
                </c:pt>
                <c:pt idx="3">
                  <c:v>126267</c:v>
                </c:pt>
                <c:pt idx="4">
                  <c:v>203601</c:v>
                </c:pt>
                <c:pt idx="5">
                  <c:v>141805</c:v>
                </c:pt>
                <c:pt idx="6">
                  <c:v>125268</c:v>
                </c:pt>
              </c:numCache>
            </c:numRef>
          </c:val>
        </c:ser>
        <c:ser>
          <c:idx val="1"/>
          <c:order val="1"/>
          <c:tx>
            <c:strRef>
              <c:f>工作表6!$C$2</c:f>
              <c:strCache>
                <c:ptCount val="1"/>
                <c:pt idx="0">
                  <c:v>101年</c:v>
                </c:pt>
              </c:strCache>
            </c:strRef>
          </c:tx>
          <c:invertIfNegative val="0"/>
          <c:cat>
            <c:strRef>
              <c:f>工作表6!$A$3:$A$9</c:f>
              <c:strCache>
                <c:ptCount val="7"/>
                <c:pt idx="0">
                  <c:v>中國大陸</c:v>
                </c:pt>
                <c:pt idx="1">
                  <c:v>日本</c:v>
                </c:pt>
                <c:pt idx="2">
                  <c:v>港澳</c:v>
                </c:pt>
                <c:pt idx="3">
                  <c:v>南韓</c:v>
                </c:pt>
                <c:pt idx="4">
                  <c:v>美國</c:v>
                </c:pt>
                <c:pt idx="5">
                  <c:v>馬來西亞</c:v>
                </c:pt>
                <c:pt idx="6">
                  <c:v>新加坡</c:v>
                </c:pt>
              </c:strCache>
            </c:strRef>
          </c:cat>
          <c:val>
            <c:numRef>
              <c:f>工作表6!$C$3:$C$9</c:f>
              <c:numCache>
                <c:formatCode>#,##0</c:formatCode>
                <c:ptCount val="7"/>
                <c:pt idx="0">
                  <c:v>1264043</c:v>
                </c:pt>
                <c:pt idx="1">
                  <c:v>714573</c:v>
                </c:pt>
                <c:pt idx="2">
                  <c:v>494737</c:v>
                </c:pt>
                <c:pt idx="3">
                  <c:v>130843</c:v>
                </c:pt>
                <c:pt idx="4">
                  <c:v>205609</c:v>
                </c:pt>
                <c:pt idx="5">
                  <c:v>159099</c:v>
                </c:pt>
                <c:pt idx="6">
                  <c:v>144696</c:v>
                </c:pt>
              </c:numCache>
            </c:numRef>
          </c:val>
        </c:ser>
        <c:ser>
          <c:idx val="2"/>
          <c:order val="2"/>
          <c:tx>
            <c:strRef>
              <c:f>工作表6!$D$2</c:f>
              <c:strCache>
                <c:ptCount val="1"/>
                <c:pt idx="0">
                  <c:v>102年</c:v>
                </c:pt>
              </c:strCache>
            </c:strRef>
          </c:tx>
          <c:invertIfNegative val="0"/>
          <c:cat>
            <c:strRef>
              <c:f>工作表6!$A$3:$A$9</c:f>
              <c:strCache>
                <c:ptCount val="7"/>
                <c:pt idx="0">
                  <c:v>中國大陸</c:v>
                </c:pt>
                <c:pt idx="1">
                  <c:v>日本</c:v>
                </c:pt>
                <c:pt idx="2">
                  <c:v>港澳</c:v>
                </c:pt>
                <c:pt idx="3">
                  <c:v>南韓</c:v>
                </c:pt>
                <c:pt idx="4">
                  <c:v>美國</c:v>
                </c:pt>
                <c:pt idx="5">
                  <c:v>馬來西亞</c:v>
                </c:pt>
                <c:pt idx="6">
                  <c:v>新加坡</c:v>
                </c:pt>
              </c:strCache>
            </c:strRef>
          </c:cat>
          <c:val>
            <c:numRef>
              <c:f>工作表6!$D$3:$D$9</c:f>
              <c:numCache>
                <c:formatCode>#,##0</c:formatCode>
                <c:ptCount val="7"/>
                <c:pt idx="0">
                  <c:v>1417077</c:v>
                </c:pt>
                <c:pt idx="1">
                  <c:v>660606</c:v>
                </c:pt>
                <c:pt idx="2">
                  <c:v>558508</c:v>
                </c:pt>
                <c:pt idx="3">
                  <c:v>146161</c:v>
                </c:pt>
                <c:pt idx="4">
                  <c:v>201908</c:v>
                </c:pt>
                <c:pt idx="5">
                  <c:v>166598</c:v>
                </c:pt>
                <c:pt idx="6">
                  <c:v>164229</c:v>
                </c:pt>
              </c:numCache>
            </c:numRef>
          </c:val>
        </c:ser>
        <c:ser>
          <c:idx val="3"/>
          <c:order val="3"/>
          <c:tx>
            <c:strRef>
              <c:f>工作表6!$E$2</c:f>
              <c:strCache>
                <c:ptCount val="1"/>
                <c:pt idx="0">
                  <c:v>103年</c:v>
                </c:pt>
              </c:strCache>
            </c:strRef>
          </c:tx>
          <c:invertIfNegative val="0"/>
          <c:cat>
            <c:strRef>
              <c:f>工作表6!$A$3:$A$9</c:f>
              <c:strCache>
                <c:ptCount val="7"/>
                <c:pt idx="0">
                  <c:v>中國大陸</c:v>
                </c:pt>
                <c:pt idx="1">
                  <c:v>日本</c:v>
                </c:pt>
                <c:pt idx="2">
                  <c:v>港澳</c:v>
                </c:pt>
                <c:pt idx="3">
                  <c:v>南韓</c:v>
                </c:pt>
                <c:pt idx="4">
                  <c:v>美國</c:v>
                </c:pt>
                <c:pt idx="5">
                  <c:v>馬來西亞</c:v>
                </c:pt>
                <c:pt idx="6">
                  <c:v>新加坡</c:v>
                </c:pt>
              </c:strCache>
            </c:strRef>
          </c:cat>
          <c:val>
            <c:numRef>
              <c:f>工作表6!$E$3:$E$9</c:f>
              <c:numCache>
                <c:formatCode>#,##0</c:formatCode>
                <c:ptCount val="7"/>
                <c:pt idx="0">
                  <c:v>1961929</c:v>
                </c:pt>
                <c:pt idx="1">
                  <c:v>783118</c:v>
                </c:pt>
                <c:pt idx="2">
                  <c:v>659487</c:v>
                </c:pt>
                <c:pt idx="3">
                  <c:v>262814</c:v>
                </c:pt>
                <c:pt idx="4">
                  <c:v>226456</c:v>
                </c:pt>
                <c:pt idx="5">
                  <c:v>212177</c:v>
                </c:pt>
                <c:pt idx="6">
                  <c:v>172378</c:v>
                </c:pt>
              </c:numCache>
            </c:numRef>
          </c:val>
        </c:ser>
        <c:ser>
          <c:idx val="4"/>
          <c:order val="4"/>
          <c:tx>
            <c:strRef>
              <c:f>工作表6!$F$2</c:f>
              <c:strCache>
                <c:ptCount val="1"/>
                <c:pt idx="0">
                  <c:v>104年</c:v>
                </c:pt>
              </c:strCache>
            </c:strRef>
          </c:tx>
          <c:invertIfNegative val="0"/>
          <c:cat>
            <c:strRef>
              <c:f>工作表6!$A$3:$A$9</c:f>
              <c:strCache>
                <c:ptCount val="7"/>
                <c:pt idx="0">
                  <c:v>中國大陸</c:v>
                </c:pt>
                <c:pt idx="1">
                  <c:v>日本</c:v>
                </c:pt>
                <c:pt idx="2">
                  <c:v>港澳</c:v>
                </c:pt>
                <c:pt idx="3">
                  <c:v>南韓</c:v>
                </c:pt>
                <c:pt idx="4">
                  <c:v>美國</c:v>
                </c:pt>
                <c:pt idx="5">
                  <c:v>馬來西亞</c:v>
                </c:pt>
                <c:pt idx="6">
                  <c:v>新加坡</c:v>
                </c:pt>
              </c:strCache>
            </c:strRef>
          </c:cat>
          <c:val>
            <c:numRef>
              <c:f>工作表6!$F$3:$F$9</c:f>
              <c:numCache>
                <c:formatCode>#,##0</c:formatCode>
                <c:ptCount val="7"/>
                <c:pt idx="0">
                  <c:v>2047051</c:v>
                </c:pt>
                <c:pt idx="1">
                  <c:v>746424</c:v>
                </c:pt>
                <c:pt idx="2">
                  <c:v>696148</c:v>
                </c:pt>
                <c:pt idx="3">
                  <c:v>323731</c:v>
                </c:pt>
                <c:pt idx="4">
                  <c:v>235090</c:v>
                </c:pt>
                <c:pt idx="5">
                  <c:v>198895</c:v>
                </c:pt>
                <c:pt idx="6">
                  <c:v>173144</c:v>
                </c:pt>
              </c:numCache>
            </c:numRef>
          </c:val>
        </c:ser>
        <c:ser>
          <c:idx val="5"/>
          <c:order val="5"/>
          <c:tx>
            <c:strRef>
              <c:f>工作表6!$G$2</c:f>
              <c:strCache>
                <c:ptCount val="1"/>
                <c:pt idx="0">
                  <c:v>105年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altLang="en-US" sz="1000"/>
                      <a:t>211.0</a:t>
                    </a:r>
                  </a:p>
                  <a:p>
                    <a:r>
                      <a:rPr lang="en-US" altLang="en-US" sz="1000"/>
                      <a:t>(+3.1%) 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altLang="en-US" sz="1000"/>
                      <a:t>88.0</a:t>
                    </a:r>
                  </a:p>
                  <a:p>
                    <a:r>
                      <a:rPr lang="en-US" altLang="en-US" sz="1000"/>
                      <a:t>(+17.9%) 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altLang="en-US" sz="1000"/>
                      <a:t>75.2</a:t>
                    </a:r>
                  </a:p>
                  <a:p>
                    <a:r>
                      <a:rPr lang="en-US" altLang="en-US" sz="1000"/>
                      <a:t>(+8.0%) 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altLang="en-US" sz="1000"/>
                      <a:t>40.7</a:t>
                    </a:r>
                  </a:p>
                  <a:p>
                    <a:r>
                      <a:rPr lang="en-US" altLang="en-US" sz="1000"/>
                      <a:t>(+25.7%) 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 altLang="en-US" sz="1000"/>
                      <a:t>25.2</a:t>
                    </a:r>
                  </a:p>
                  <a:p>
                    <a:r>
                      <a:rPr lang="en-US" altLang="en-US" sz="1000"/>
                      <a:t>(+7.3%) 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 altLang="en-US" sz="1000"/>
                      <a:t>21.5</a:t>
                    </a:r>
                  </a:p>
                  <a:p>
                    <a:r>
                      <a:rPr lang="en-US" altLang="en-US" sz="1000"/>
                      <a:t>(+8.3%) 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 altLang="en-US" sz="1000"/>
                      <a:t>17.9</a:t>
                    </a:r>
                  </a:p>
                  <a:p>
                    <a:r>
                      <a:rPr lang="en-US" altLang="en-US" sz="1000"/>
                      <a:t>(+3.7%) 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_);[Red]\(#,##0.0\)" sourceLinked="0"/>
            <c:txPr>
              <a:bodyPr/>
              <a:lstStyle/>
              <a:p>
                <a:pPr>
                  <a:defRPr sz="1000"/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工作表6!$A$3:$A$9</c:f>
              <c:strCache>
                <c:ptCount val="7"/>
                <c:pt idx="0">
                  <c:v>中國大陸</c:v>
                </c:pt>
                <c:pt idx="1">
                  <c:v>日本</c:v>
                </c:pt>
                <c:pt idx="2">
                  <c:v>港澳</c:v>
                </c:pt>
                <c:pt idx="3">
                  <c:v>南韓</c:v>
                </c:pt>
                <c:pt idx="4">
                  <c:v>美國</c:v>
                </c:pt>
                <c:pt idx="5">
                  <c:v>馬來西亞</c:v>
                </c:pt>
                <c:pt idx="6">
                  <c:v>新加坡</c:v>
                </c:pt>
              </c:strCache>
            </c:strRef>
          </c:cat>
          <c:val>
            <c:numRef>
              <c:f>工作表6!$G$3:$G$9</c:f>
              <c:numCache>
                <c:formatCode>#,##0</c:formatCode>
                <c:ptCount val="7"/>
                <c:pt idx="0">
                  <c:v>2109893</c:v>
                </c:pt>
                <c:pt idx="1">
                  <c:v>879873</c:v>
                </c:pt>
                <c:pt idx="2">
                  <c:v>752067</c:v>
                </c:pt>
                <c:pt idx="3">
                  <c:v>406862</c:v>
                </c:pt>
                <c:pt idx="4">
                  <c:v>252269</c:v>
                </c:pt>
                <c:pt idx="5">
                  <c:v>215354</c:v>
                </c:pt>
                <c:pt idx="6">
                  <c:v>179485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813568"/>
        <c:axId val="42381824"/>
      </c:barChart>
      <c:catAx>
        <c:axId val="128813568"/>
        <c:scaling>
          <c:orientation val="minMax"/>
        </c:scaling>
        <c:delete val="0"/>
        <c:axPos val="b"/>
        <c:majorTickMark val="none"/>
        <c:minorTickMark val="none"/>
        <c:tickLblPos val="nextTo"/>
        <c:crossAx val="42381824"/>
        <c:crosses val="autoZero"/>
        <c:auto val="1"/>
        <c:lblAlgn val="ctr"/>
        <c:lblOffset val="100"/>
        <c:noMultiLvlLbl val="0"/>
      </c:catAx>
      <c:valAx>
        <c:axId val="42381824"/>
        <c:scaling>
          <c:orientation val="minMax"/>
          <c:max val="2500000"/>
          <c:min val="0"/>
        </c:scaling>
        <c:delete val="0"/>
        <c:axPos val="l"/>
        <c:numFmt formatCode="#,##0" sourceLinked="1"/>
        <c:majorTickMark val="none"/>
        <c:minorTickMark val="none"/>
        <c:tickLblPos val="nextTo"/>
        <c:crossAx val="128813568"/>
        <c:crosses val="autoZero"/>
        <c:crossBetween val="between"/>
        <c:dispUnits>
          <c:builtInUnit val="tenThousands"/>
        </c:dispUnits>
      </c:valAx>
    </c:plotArea>
    <c:legend>
      <c:legendPos val="t"/>
      <c:layout>
        <c:manualLayout>
          <c:xMode val="edge"/>
          <c:yMode val="edge"/>
          <c:x val="0.36622580510516556"/>
          <c:y val="0.13592229546102605"/>
          <c:w val="0.5694744905020751"/>
          <c:h val="6.6354492175804053E-2"/>
        </c:manualLayout>
      </c:layout>
      <c:overlay val="0"/>
      <c:txPr>
        <a:bodyPr/>
        <a:lstStyle/>
        <a:p>
          <a:pPr>
            <a:defRPr sz="900"/>
          </a:pPr>
          <a:endParaRPr lang="zh-TW"/>
        </a:p>
      </c:txPr>
    </c:legend>
    <c:plotVisOnly val="1"/>
    <c:dispBlanksAs val="gap"/>
    <c:showDLblsOverMax val="0"/>
  </c:chart>
  <c:spPr>
    <a:noFill/>
    <a:ln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F15EA-2ED7-42BF-8EE2-A08CFDAA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549</Words>
  <Characters>3134</Characters>
  <Application>Microsoft Office Word</Application>
  <DocSecurity>0</DocSecurity>
  <Lines>26</Lines>
  <Paragraphs>7</Paragraphs>
  <ScaleCrop>false</ScaleCrop>
  <Company>MOTC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JCT-MEM</dc:creator>
  <cp:lastModifiedBy>洪裕鑫</cp:lastModifiedBy>
  <cp:revision>7</cp:revision>
  <cp:lastPrinted>2016-08-01T07:04:00Z</cp:lastPrinted>
  <dcterms:created xsi:type="dcterms:W3CDTF">2016-08-01T03:37:00Z</dcterms:created>
  <dcterms:modified xsi:type="dcterms:W3CDTF">2016-08-02T09:16:00Z</dcterms:modified>
</cp:coreProperties>
</file>